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A18A3" w14:textId="77777777" w:rsidR="00375F5E" w:rsidRPr="00EB4FA2" w:rsidRDefault="00375F5E" w:rsidP="251BE3F0">
      <w:pPr>
        <w:pStyle w:val="BodyText"/>
        <w:rPr>
          <w:rFonts w:ascii="Times New Roman"/>
          <w:sz w:val="20"/>
          <w:szCs w:val="20"/>
          <w:lang w:val="en-ZA"/>
        </w:rPr>
      </w:pPr>
    </w:p>
    <w:p w14:paraId="5F371BB7" w14:textId="77777777" w:rsidR="00375F5E" w:rsidRPr="00EB4FA2" w:rsidRDefault="00375F5E" w:rsidP="251BE3F0">
      <w:pPr>
        <w:pStyle w:val="BodyText"/>
        <w:spacing w:before="4"/>
        <w:rPr>
          <w:rFonts w:ascii="Times New Roman"/>
          <w:sz w:val="23"/>
          <w:szCs w:val="23"/>
          <w:lang w:val="en-ZA"/>
        </w:rPr>
      </w:pPr>
    </w:p>
    <w:p w14:paraId="602F237B" w14:textId="5CA3D5E6" w:rsidR="00375F5E" w:rsidRPr="00EB4FA2" w:rsidRDefault="38609187" w:rsidP="251BE3F0">
      <w:pPr>
        <w:pStyle w:val="0Title"/>
        <w:rPr>
          <w:sz w:val="22"/>
          <w:szCs w:val="22"/>
        </w:rPr>
      </w:pPr>
      <w:r w:rsidRPr="00EB4FA2">
        <w:rPr>
          <w:spacing w:val="23"/>
          <w:sz w:val="22"/>
          <w:szCs w:val="22"/>
        </w:rPr>
        <w:t xml:space="preserve"> </w:t>
      </w:r>
      <w:r w:rsidR="13FA304D" w:rsidRPr="00EB4FA2">
        <w:rPr>
          <w:spacing w:val="23"/>
          <w:sz w:val="22"/>
          <w:szCs w:val="22"/>
        </w:rPr>
        <w:t>October</w:t>
      </w:r>
      <w:r w:rsidRPr="00EB4FA2">
        <w:rPr>
          <w:sz w:val="22"/>
          <w:szCs w:val="22"/>
        </w:rPr>
        <w:t xml:space="preserve"> 202</w:t>
      </w:r>
      <w:r w:rsidR="7A144166" w:rsidRPr="00EB4FA2">
        <w:rPr>
          <w:sz w:val="22"/>
          <w:szCs w:val="22"/>
        </w:rPr>
        <w:t>4</w:t>
      </w:r>
    </w:p>
    <w:p w14:paraId="0B710406" w14:textId="77777777" w:rsidR="00375F5E" w:rsidRPr="00EB4FA2" w:rsidRDefault="00375F5E" w:rsidP="251BE3F0">
      <w:pPr>
        <w:pStyle w:val="BodyText"/>
        <w:rPr>
          <w:rFonts w:ascii="Arial"/>
          <w:b/>
          <w:bCs/>
          <w:sz w:val="24"/>
          <w:szCs w:val="24"/>
          <w:lang w:val="en-ZA"/>
        </w:rPr>
      </w:pPr>
    </w:p>
    <w:p w14:paraId="09B40198" w14:textId="77777777" w:rsidR="00375F5E" w:rsidRPr="00EB4FA2" w:rsidRDefault="00375F5E" w:rsidP="251BE3F0">
      <w:pPr>
        <w:pStyle w:val="BodyText"/>
        <w:spacing w:before="6"/>
        <w:rPr>
          <w:rFonts w:ascii="Arial"/>
          <w:b/>
          <w:bCs/>
          <w:sz w:val="27"/>
          <w:szCs w:val="27"/>
          <w:lang w:val="en-ZA"/>
        </w:rPr>
      </w:pPr>
    </w:p>
    <w:p w14:paraId="59ADEC86" w14:textId="572D942E" w:rsidR="00375F5E" w:rsidRPr="00EB4FA2" w:rsidRDefault="38609187" w:rsidP="251BE3F0">
      <w:pPr>
        <w:spacing w:line="283" w:lineRule="auto"/>
        <w:ind w:left="1068" w:right="395" w:hanging="2"/>
        <w:jc w:val="center"/>
        <w:rPr>
          <w:rFonts w:ascii="Arial"/>
          <w:b/>
          <w:bCs/>
        </w:rPr>
      </w:pPr>
      <w:r w:rsidRPr="00EB4FA2">
        <w:rPr>
          <w:rFonts w:ascii="Arial"/>
          <w:b/>
          <w:bCs/>
        </w:rPr>
        <w:t>Response</w:t>
      </w:r>
      <w:r w:rsidRPr="00EB4FA2">
        <w:rPr>
          <w:rFonts w:ascii="Arial"/>
          <w:b/>
          <w:bCs/>
          <w:spacing w:val="14"/>
        </w:rPr>
        <w:t xml:space="preserve"> </w:t>
      </w:r>
      <w:r w:rsidRPr="00EB4FA2">
        <w:rPr>
          <w:rFonts w:ascii="Arial"/>
          <w:b/>
          <w:bCs/>
        </w:rPr>
        <w:t>Document</w:t>
      </w:r>
      <w:r w:rsidRPr="00EB4FA2">
        <w:rPr>
          <w:rFonts w:ascii="Arial"/>
          <w:b/>
          <w:bCs/>
          <w:spacing w:val="8"/>
        </w:rPr>
        <w:t xml:space="preserve"> </w:t>
      </w:r>
      <w:r w:rsidRPr="00EB4FA2">
        <w:rPr>
          <w:rFonts w:ascii="Arial"/>
          <w:b/>
          <w:bCs/>
        </w:rPr>
        <w:t>on</w:t>
      </w:r>
      <w:r w:rsidRPr="00EB4FA2">
        <w:rPr>
          <w:rFonts w:ascii="Arial"/>
          <w:b/>
          <w:bCs/>
          <w:spacing w:val="10"/>
        </w:rPr>
        <w:t xml:space="preserve"> </w:t>
      </w:r>
      <w:r w:rsidRPr="00EB4FA2">
        <w:rPr>
          <w:rFonts w:ascii="Arial"/>
          <w:b/>
          <w:bCs/>
        </w:rPr>
        <w:t>the</w:t>
      </w:r>
      <w:r w:rsidRPr="00EB4FA2">
        <w:rPr>
          <w:rFonts w:ascii="Arial"/>
          <w:b/>
          <w:bCs/>
          <w:spacing w:val="12"/>
        </w:rPr>
        <w:t xml:space="preserve"> </w:t>
      </w:r>
      <w:r w:rsidRPr="00EB4FA2">
        <w:rPr>
          <w:rFonts w:ascii="Arial"/>
          <w:b/>
          <w:bCs/>
        </w:rPr>
        <w:t>202</w:t>
      </w:r>
      <w:r w:rsidR="7A144166" w:rsidRPr="00EB4FA2">
        <w:rPr>
          <w:rFonts w:ascii="Arial"/>
          <w:b/>
          <w:bCs/>
        </w:rPr>
        <w:t>4</w:t>
      </w:r>
      <w:r w:rsidRPr="00EB4FA2">
        <w:rPr>
          <w:rFonts w:ascii="Arial"/>
          <w:b/>
          <w:bCs/>
          <w:spacing w:val="14"/>
        </w:rPr>
        <w:t xml:space="preserve"> Draft Revenue Laws Amendment Bill, 202</w:t>
      </w:r>
      <w:r w:rsidR="7A144166" w:rsidRPr="00EB4FA2">
        <w:rPr>
          <w:rFonts w:ascii="Arial"/>
          <w:b/>
          <w:bCs/>
          <w:spacing w:val="14"/>
        </w:rPr>
        <w:t>4</w:t>
      </w:r>
      <w:r w:rsidRPr="00EB4FA2">
        <w:rPr>
          <w:rFonts w:ascii="Arial"/>
          <w:b/>
          <w:bCs/>
          <w:spacing w:val="14"/>
        </w:rPr>
        <w:t xml:space="preserve"> </w:t>
      </w:r>
      <w:r w:rsidRPr="00EB4FA2">
        <w:rPr>
          <w:rFonts w:ascii="Arial"/>
          <w:b/>
          <w:bCs/>
        </w:rPr>
        <w:t>Draft</w:t>
      </w:r>
      <w:r w:rsidRPr="00EB4FA2">
        <w:rPr>
          <w:rFonts w:ascii="Arial"/>
          <w:b/>
          <w:bCs/>
          <w:spacing w:val="8"/>
        </w:rPr>
        <w:t xml:space="preserve"> </w:t>
      </w:r>
      <w:r w:rsidRPr="00EB4FA2">
        <w:rPr>
          <w:rFonts w:ascii="Arial"/>
          <w:b/>
          <w:bCs/>
        </w:rPr>
        <w:t>Rates</w:t>
      </w:r>
      <w:r w:rsidRPr="00EB4FA2">
        <w:rPr>
          <w:rFonts w:ascii="Arial"/>
          <w:b/>
          <w:bCs/>
          <w:spacing w:val="11"/>
        </w:rPr>
        <w:t xml:space="preserve"> </w:t>
      </w:r>
      <w:r w:rsidRPr="00EB4FA2">
        <w:rPr>
          <w:rFonts w:ascii="Arial"/>
          <w:b/>
          <w:bCs/>
        </w:rPr>
        <w:t>and</w:t>
      </w:r>
      <w:r w:rsidRPr="00EB4FA2">
        <w:rPr>
          <w:rFonts w:ascii="Arial"/>
          <w:b/>
          <w:bCs/>
          <w:spacing w:val="11"/>
        </w:rPr>
        <w:t xml:space="preserve"> </w:t>
      </w:r>
      <w:r w:rsidRPr="00EB4FA2">
        <w:rPr>
          <w:rFonts w:ascii="Arial"/>
          <w:b/>
          <w:bCs/>
        </w:rPr>
        <w:t>Monetary</w:t>
      </w:r>
      <w:r w:rsidRPr="00EB4FA2">
        <w:rPr>
          <w:rFonts w:ascii="Arial"/>
          <w:b/>
          <w:bCs/>
          <w:spacing w:val="1"/>
        </w:rPr>
        <w:t xml:space="preserve"> </w:t>
      </w:r>
      <w:r w:rsidRPr="00EB4FA2">
        <w:rPr>
          <w:rFonts w:ascii="Arial"/>
          <w:b/>
          <w:bCs/>
        </w:rPr>
        <w:t>Amounts and Amendment of Revenue Laws</w:t>
      </w:r>
      <w:r w:rsidRPr="00EB4FA2">
        <w:rPr>
          <w:rFonts w:ascii="Arial"/>
          <w:b/>
          <w:bCs/>
          <w:spacing w:val="1"/>
        </w:rPr>
        <w:t xml:space="preserve"> </w:t>
      </w:r>
      <w:r w:rsidRPr="00EB4FA2">
        <w:rPr>
          <w:rFonts w:ascii="Arial"/>
          <w:b/>
          <w:bCs/>
        </w:rPr>
        <w:t>Bill, 202</w:t>
      </w:r>
      <w:r w:rsidR="7A144166" w:rsidRPr="00EB4FA2">
        <w:rPr>
          <w:rFonts w:ascii="Arial"/>
          <w:b/>
          <w:bCs/>
        </w:rPr>
        <w:t>4</w:t>
      </w:r>
      <w:r w:rsidRPr="00EB4FA2">
        <w:rPr>
          <w:rFonts w:ascii="Arial"/>
          <w:b/>
          <w:bCs/>
          <w:spacing w:val="1"/>
        </w:rPr>
        <w:t xml:space="preserve"> </w:t>
      </w:r>
      <w:r w:rsidRPr="00EB4FA2">
        <w:rPr>
          <w:rFonts w:ascii="Arial"/>
          <w:b/>
          <w:bCs/>
        </w:rPr>
        <w:t>Draft</w:t>
      </w:r>
      <w:r w:rsidRPr="00EB4FA2">
        <w:rPr>
          <w:rFonts w:ascii="Arial"/>
          <w:b/>
          <w:bCs/>
          <w:spacing w:val="1"/>
        </w:rPr>
        <w:t xml:space="preserve"> </w:t>
      </w:r>
      <w:r w:rsidRPr="00EB4FA2">
        <w:rPr>
          <w:rFonts w:ascii="Arial"/>
          <w:b/>
          <w:bCs/>
        </w:rPr>
        <w:t>Taxation</w:t>
      </w:r>
      <w:r w:rsidR="00FC0313">
        <w:rPr>
          <w:rFonts w:ascii="Arial"/>
          <w:b/>
          <w:bCs/>
        </w:rPr>
        <w:t xml:space="preserve"> </w:t>
      </w:r>
      <w:r w:rsidRPr="00EB4FA2">
        <w:rPr>
          <w:rFonts w:ascii="Arial"/>
          <w:b/>
          <w:bCs/>
          <w:spacing w:val="-60"/>
        </w:rPr>
        <w:t xml:space="preserve"> </w:t>
      </w:r>
      <w:r w:rsidRPr="00EB4FA2">
        <w:rPr>
          <w:rFonts w:ascii="Arial"/>
          <w:b/>
          <w:bCs/>
        </w:rPr>
        <w:t>Laws</w:t>
      </w:r>
      <w:r w:rsidRPr="00EB4FA2">
        <w:rPr>
          <w:rFonts w:ascii="Arial"/>
          <w:b/>
          <w:bCs/>
          <w:spacing w:val="10"/>
        </w:rPr>
        <w:t xml:space="preserve"> </w:t>
      </w:r>
      <w:r w:rsidRPr="00EB4FA2">
        <w:rPr>
          <w:rFonts w:ascii="Arial"/>
          <w:b/>
          <w:bCs/>
        </w:rPr>
        <w:t>Amendment</w:t>
      </w:r>
      <w:r w:rsidRPr="00EB4FA2">
        <w:rPr>
          <w:rFonts w:ascii="Arial"/>
          <w:b/>
          <w:bCs/>
          <w:spacing w:val="6"/>
        </w:rPr>
        <w:t xml:space="preserve"> </w:t>
      </w:r>
      <w:r w:rsidRPr="00EB4FA2">
        <w:rPr>
          <w:rFonts w:ascii="Arial"/>
          <w:b/>
          <w:bCs/>
        </w:rPr>
        <w:t>Bill</w:t>
      </w:r>
      <w:r w:rsidR="67550430" w:rsidRPr="00EB4FA2">
        <w:rPr>
          <w:rFonts w:ascii="Arial"/>
          <w:b/>
          <w:bCs/>
        </w:rPr>
        <w:t xml:space="preserve">, </w:t>
      </w:r>
      <w:r w:rsidRPr="00EB4FA2">
        <w:rPr>
          <w:rFonts w:ascii="Arial"/>
          <w:b/>
          <w:bCs/>
        </w:rPr>
        <w:t>202</w:t>
      </w:r>
      <w:r w:rsidR="7A144166" w:rsidRPr="00EB4FA2">
        <w:rPr>
          <w:rFonts w:ascii="Arial"/>
          <w:b/>
          <w:bCs/>
        </w:rPr>
        <w:t>4</w:t>
      </w:r>
      <w:r w:rsidRPr="00EB4FA2">
        <w:rPr>
          <w:rFonts w:ascii="Arial"/>
          <w:b/>
          <w:bCs/>
          <w:spacing w:val="11"/>
        </w:rPr>
        <w:t xml:space="preserve"> </w:t>
      </w:r>
      <w:r w:rsidRPr="00EB4FA2">
        <w:rPr>
          <w:rFonts w:ascii="Arial"/>
          <w:b/>
          <w:bCs/>
        </w:rPr>
        <w:t>Draft</w:t>
      </w:r>
      <w:r w:rsidRPr="00EB4FA2">
        <w:rPr>
          <w:rFonts w:ascii="Arial"/>
          <w:b/>
          <w:bCs/>
          <w:spacing w:val="6"/>
        </w:rPr>
        <w:t xml:space="preserve"> </w:t>
      </w:r>
      <w:r w:rsidRPr="00EB4FA2">
        <w:rPr>
          <w:rFonts w:ascii="Arial"/>
          <w:b/>
          <w:bCs/>
        </w:rPr>
        <w:t>Tax</w:t>
      </w:r>
      <w:r w:rsidRPr="00EB4FA2">
        <w:rPr>
          <w:rFonts w:ascii="Arial"/>
          <w:b/>
          <w:bCs/>
          <w:spacing w:val="10"/>
        </w:rPr>
        <w:t xml:space="preserve"> </w:t>
      </w:r>
      <w:r w:rsidRPr="00EB4FA2">
        <w:rPr>
          <w:rFonts w:ascii="Arial"/>
          <w:b/>
          <w:bCs/>
        </w:rPr>
        <w:t>Administration</w:t>
      </w:r>
      <w:r w:rsidRPr="00EB4FA2">
        <w:rPr>
          <w:rFonts w:ascii="Arial"/>
          <w:b/>
          <w:bCs/>
          <w:spacing w:val="7"/>
        </w:rPr>
        <w:t xml:space="preserve"> </w:t>
      </w:r>
      <w:r w:rsidRPr="00EB4FA2">
        <w:rPr>
          <w:rFonts w:ascii="Arial"/>
          <w:b/>
          <w:bCs/>
        </w:rPr>
        <w:t>Laws</w:t>
      </w:r>
      <w:r w:rsidRPr="00EB4FA2">
        <w:rPr>
          <w:rFonts w:ascii="Arial"/>
          <w:b/>
          <w:bCs/>
          <w:spacing w:val="1"/>
        </w:rPr>
        <w:t xml:space="preserve"> </w:t>
      </w:r>
      <w:r w:rsidRPr="00EB4FA2">
        <w:rPr>
          <w:rFonts w:ascii="Arial"/>
          <w:b/>
          <w:bCs/>
        </w:rPr>
        <w:t>Amendment</w:t>
      </w:r>
      <w:r w:rsidRPr="00EB4FA2">
        <w:rPr>
          <w:rFonts w:ascii="Arial"/>
          <w:b/>
          <w:bCs/>
          <w:spacing w:val="1"/>
        </w:rPr>
        <w:t xml:space="preserve"> </w:t>
      </w:r>
      <w:r w:rsidR="634DB363" w:rsidRPr="00EB4FA2">
        <w:rPr>
          <w:rFonts w:ascii="Arial"/>
          <w:b/>
          <w:bCs/>
        </w:rPr>
        <w:t>Bill, Global</w:t>
      </w:r>
      <w:r w:rsidR="35888E4F" w:rsidRPr="00EB4FA2">
        <w:rPr>
          <w:rFonts w:ascii="Arial"/>
          <w:b/>
          <w:bCs/>
        </w:rPr>
        <w:t xml:space="preserve"> Minimum Tax Bill </w:t>
      </w:r>
      <w:r w:rsidR="5F6DB896" w:rsidRPr="00EB4FA2">
        <w:rPr>
          <w:rFonts w:ascii="Arial"/>
          <w:b/>
          <w:bCs/>
        </w:rPr>
        <w:t>and Global</w:t>
      </w:r>
      <w:r w:rsidR="35888E4F" w:rsidRPr="00EB4FA2">
        <w:rPr>
          <w:rFonts w:ascii="Arial"/>
          <w:b/>
          <w:bCs/>
        </w:rPr>
        <w:t xml:space="preserve"> Minimum</w:t>
      </w:r>
      <w:r w:rsidRPr="00EB4FA2">
        <w:rPr>
          <w:rFonts w:ascii="Arial"/>
          <w:b/>
          <w:bCs/>
        </w:rPr>
        <w:t xml:space="preserve"> Tax Administration </w:t>
      </w:r>
      <w:r w:rsidR="35888E4F" w:rsidRPr="00EB4FA2">
        <w:rPr>
          <w:rFonts w:ascii="Arial"/>
          <w:b/>
          <w:bCs/>
        </w:rPr>
        <w:t>Bill</w:t>
      </w:r>
      <w:r w:rsidR="1521CDFB" w:rsidRPr="00EB4FA2">
        <w:rPr>
          <w:rFonts w:ascii="Arial"/>
          <w:b/>
          <w:bCs/>
        </w:rPr>
        <w:t>.</w:t>
      </w:r>
      <w:r w:rsidR="35888E4F" w:rsidRPr="00EB4FA2">
        <w:rPr>
          <w:rFonts w:ascii="Arial"/>
          <w:b/>
          <w:bCs/>
        </w:rPr>
        <w:t xml:space="preserve"> </w:t>
      </w:r>
    </w:p>
    <w:p w14:paraId="0057B563" w14:textId="77777777" w:rsidR="00375F5E" w:rsidRPr="00EB4FA2" w:rsidRDefault="00375F5E" w:rsidP="251BE3F0">
      <w:pPr>
        <w:pStyle w:val="BodyText"/>
        <w:spacing w:before="11"/>
        <w:rPr>
          <w:rFonts w:ascii="Arial"/>
          <w:b/>
          <w:bCs/>
          <w:sz w:val="25"/>
          <w:szCs w:val="25"/>
          <w:lang w:val="en-ZA"/>
        </w:rPr>
      </w:pPr>
    </w:p>
    <w:p w14:paraId="3FD64F3D" w14:textId="77777777" w:rsidR="00375F5E" w:rsidRPr="00EB4FA2" w:rsidRDefault="454DE0F2" w:rsidP="251BE3F0">
      <w:pPr>
        <w:widowControl/>
        <w:autoSpaceDE/>
        <w:autoSpaceDN/>
        <w:spacing w:line="276" w:lineRule="auto"/>
        <w:ind w:left="720"/>
        <w:jc w:val="center"/>
        <w:rPr>
          <w:rFonts w:ascii="Arial" w:eastAsiaTheme="minorEastAsia" w:hAnsi="Arial" w:cs="Arial"/>
          <w:b/>
          <w:bCs/>
        </w:rPr>
      </w:pPr>
      <w:r w:rsidRPr="00EB4FA2">
        <w:rPr>
          <w:rFonts w:ascii="Arial" w:eastAsiaTheme="minorEastAsia" w:hAnsi="Arial" w:cs="Arial"/>
          <w:b/>
          <w:bCs/>
        </w:rPr>
        <w:t>(Based on hearings by the Standing Committee on Finance in Parliament)</w:t>
      </w:r>
    </w:p>
    <w:p w14:paraId="1BAA9A73" w14:textId="77777777" w:rsidR="00375F5E" w:rsidRPr="00EB4FA2" w:rsidRDefault="00375F5E" w:rsidP="251BE3F0">
      <w:pPr>
        <w:pStyle w:val="BodyText"/>
        <w:rPr>
          <w:rFonts w:ascii="Arial"/>
          <w:b/>
          <w:bCs/>
          <w:sz w:val="20"/>
          <w:szCs w:val="20"/>
          <w:lang w:val="en-ZA"/>
        </w:rPr>
      </w:pPr>
    </w:p>
    <w:p w14:paraId="7AF3F3FB" w14:textId="77777777" w:rsidR="00375F5E" w:rsidRPr="00EB4FA2" w:rsidRDefault="00375F5E" w:rsidP="251BE3F0">
      <w:pPr>
        <w:pStyle w:val="BodyText"/>
        <w:rPr>
          <w:rFonts w:ascii="Arial"/>
          <w:b/>
          <w:bCs/>
          <w:sz w:val="20"/>
          <w:szCs w:val="20"/>
          <w:lang w:val="en-ZA"/>
        </w:rPr>
      </w:pPr>
    </w:p>
    <w:p w14:paraId="7BE3EBF3" w14:textId="77777777" w:rsidR="00375F5E" w:rsidRPr="00EB4FA2" w:rsidRDefault="00375F5E" w:rsidP="251BE3F0">
      <w:pPr>
        <w:pStyle w:val="BodyText"/>
        <w:rPr>
          <w:rFonts w:ascii="Arial"/>
          <w:b/>
          <w:bCs/>
          <w:sz w:val="20"/>
          <w:szCs w:val="20"/>
          <w:lang w:val="en-ZA"/>
        </w:rPr>
      </w:pPr>
    </w:p>
    <w:p w14:paraId="71DFCE92" w14:textId="77777777" w:rsidR="00375F5E" w:rsidRPr="00EB4FA2" w:rsidRDefault="00375F5E" w:rsidP="251BE3F0">
      <w:pPr>
        <w:pStyle w:val="BodyText"/>
        <w:rPr>
          <w:rFonts w:ascii="Arial"/>
          <w:b/>
          <w:bCs/>
          <w:sz w:val="20"/>
          <w:szCs w:val="20"/>
          <w:lang w:val="en-ZA"/>
        </w:rPr>
      </w:pPr>
    </w:p>
    <w:p w14:paraId="3204BCA3" w14:textId="77777777" w:rsidR="00375F5E" w:rsidRPr="00EB4FA2" w:rsidRDefault="00375F5E" w:rsidP="251BE3F0">
      <w:pPr>
        <w:pStyle w:val="BodyText"/>
        <w:rPr>
          <w:rFonts w:ascii="Arial"/>
          <w:b/>
          <w:bCs/>
          <w:sz w:val="20"/>
          <w:szCs w:val="20"/>
          <w:lang w:val="en-ZA"/>
        </w:rPr>
      </w:pPr>
    </w:p>
    <w:p w14:paraId="7AC58DF5" w14:textId="77777777" w:rsidR="00375F5E" w:rsidRPr="00EB4FA2" w:rsidRDefault="00375F5E" w:rsidP="251BE3F0">
      <w:pPr>
        <w:pStyle w:val="BodyText"/>
        <w:rPr>
          <w:rFonts w:ascii="Arial"/>
          <w:b/>
          <w:bCs/>
          <w:sz w:val="20"/>
          <w:szCs w:val="20"/>
          <w:lang w:val="en-ZA"/>
        </w:rPr>
      </w:pPr>
    </w:p>
    <w:p w14:paraId="07E3DA8E" w14:textId="77777777" w:rsidR="00375F5E" w:rsidRPr="00EB4FA2" w:rsidRDefault="00375F5E" w:rsidP="251BE3F0">
      <w:pPr>
        <w:pStyle w:val="BodyText"/>
        <w:rPr>
          <w:rFonts w:ascii="Arial"/>
          <w:b/>
          <w:bCs/>
          <w:sz w:val="20"/>
          <w:szCs w:val="20"/>
          <w:lang w:val="en-ZA"/>
        </w:rPr>
      </w:pPr>
    </w:p>
    <w:p w14:paraId="4B443873" w14:textId="77777777" w:rsidR="00375F5E" w:rsidRPr="00EB4FA2" w:rsidRDefault="00375F5E" w:rsidP="251BE3F0">
      <w:pPr>
        <w:pStyle w:val="BodyText"/>
        <w:rPr>
          <w:rFonts w:ascii="Arial"/>
          <w:b/>
          <w:bCs/>
          <w:sz w:val="20"/>
          <w:szCs w:val="20"/>
          <w:lang w:val="en-ZA"/>
        </w:rPr>
      </w:pPr>
    </w:p>
    <w:p w14:paraId="13367CD4" w14:textId="77777777" w:rsidR="00375F5E" w:rsidRPr="00EB4FA2" w:rsidRDefault="00375F5E" w:rsidP="251BE3F0">
      <w:pPr>
        <w:pStyle w:val="BodyText"/>
        <w:rPr>
          <w:rFonts w:ascii="Arial"/>
          <w:b/>
          <w:bCs/>
          <w:sz w:val="20"/>
          <w:szCs w:val="20"/>
          <w:lang w:val="en-ZA"/>
        </w:rPr>
      </w:pPr>
    </w:p>
    <w:p w14:paraId="2C5F9DD2" w14:textId="77777777" w:rsidR="00375F5E" w:rsidRPr="00EB4FA2" w:rsidRDefault="00375F5E" w:rsidP="251BE3F0">
      <w:pPr>
        <w:pStyle w:val="BodyText"/>
        <w:rPr>
          <w:rFonts w:ascii="Arial"/>
          <w:b/>
          <w:bCs/>
          <w:sz w:val="20"/>
          <w:szCs w:val="20"/>
          <w:lang w:val="en-ZA"/>
        </w:rPr>
      </w:pPr>
    </w:p>
    <w:p w14:paraId="5EF55CF5" w14:textId="34516EFE" w:rsidR="005671A9" w:rsidRPr="003F111D" w:rsidRDefault="005A7AE4" w:rsidP="003F111D">
      <w:pPr>
        <w:pStyle w:val="BodyText"/>
        <w:spacing w:before="5"/>
        <w:sectPr w:rsidR="005671A9" w:rsidRPr="003F111D">
          <w:headerReference w:type="even" r:id="rId8"/>
          <w:headerReference w:type="default" r:id="rId9"/>
          <w:footerReference w:type="even" r:id="rId10"/>
          <w:footerReference w:type="default" r:id="rId11"/>
          <w:headerReference w:type="first" r:id="rId12"/>
          <w:footerReference w:type="first" r:id="rId13"/>
          <w:type w:val="continuous"/>
          <w:pgSz w:w="12240" w:h="15840"/>
          <w:pgMar w:top="1500" w:right="1720" w:bottom="1080" w:left="1720" w:header="720" w:footer="891" w:gutter="0"/>
          <w:pgNumType w:start="1"/>
          <w:cols w:space="720"/>
        </w:sectPr>
      </w:pPr>
      <w:r w:rsidRPr="003F111D">
        <w:rPr>
          <w:noProof/>
        </w:rPr>
        <w:drawing>
          <wp:anchor distT="0" distB="0" distL="0" distR="0" simplePos="0" relativeHeight="251658240" behindDoc="0" locked="0" layoutInCell="1" allowOverlap="1" wp14:anchorId="49BE1276" wp14:editId="1BD71B53">
            <wp:simplePos x="0" y="0"/>
            <wp:positionH relativeFrom="page">
              <wp:posOffset>1738883</wp:posOffset>
            </wp:positionH>
            <wp:positionV relativeFrom="paragraph">
              <wp:posOffset>159373</wp:posOffset>
            </wp:positionV>
            <wp:extent cx="975752" cy="1458468"/>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4" cstate="print"/>
                    <a:stretch>
                      <a:fillRect/>
                    </a:stretch>
                  </pic:blipFill>
                  <pic:spPr>
                    <a:xfrm>
                      <a:off x="0" y="0"/>
                      <a:ext cx="975752" cy="1458468"/>
                    </a:xfrm>
                    <a:prstGeom prst="rect">
                      <a:avLst/>
                    </a:prstGeom>
                  </pic:spPr>
                </pic:pic>
              </a:graphicData>
            </a:graphic>
          </wp:anchor>
        </w:drawing>
      </w:r>
      <w:r w:rsidRPr="003F111D">
        <w:rPr>
          <w:noProof/>
        </w:rPr>
        <w:drawing>
          <wp:anchor distT="0" distB="0" distL="0" distR="0" simplePos="0" relativeHeight="251658241" behindDoc="0" locked="0" layoutInCell="1" allowOverlap="1" wp14:anchorId="26400C8E" wp14:editId="022E6F6B">
            <wp:simplePos x="0" y="0"/>
            <wp:positionH relativeFrom="page">
              <wp:posOffset>4200144</wp:posOffset>
            </wp:positionH>
            <wp:positionV relativeFrom="paragraph">
              <wp:posOffset>1194169</wp:posOffset>
            </wp:positionV>
            <wp:extent cx="1850601" cy="434054"/>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5" cstate="print"/>
                    <a:stretch>
                      <a:fillRect/>
                    </a:stretch>
                  </pic:blipFill>
                  <pic:spPr>
                    <a:xfrm>
                      <a:off x="0" y="0"/>
                      <a:ext cx="1850601" cy="434054"/>
                    </a:xfrm>
                    <a:prstGeom prst="rect">
                      <a:avLst/>
                    </a:prstGeom>
                  </pic:spPr>
                </pic:pic>
              </a:graphicData>
            </a:graphic>
          </wp:anchor>
        </w:drawing>
      </w:r>
    </w:p>
    <w:p w14:paraId="0DD233F1" w14:textId="77777777" w:rsidR="00B53D83" w:rsidRPr="00403DF5" w:rsidRDefault="00B53D83">
      <w:pPr>
        <w:rPr>
          <w:sz w:val="18"/>
          <w:szCs w:val="18"/>
          <w:lang w:val="en-US"/>
        </w:rPr>
      </w:pPr>
    </w:p>
    <w:sdt>
      <w:sdtPr>
        <w:rPr>
          <w:rFonts w:ascii="Arial MT" w:eastAsia="Arial MT" w:hAnsi="Arial MT" w:cs="Arial MT"/>
          <w:color w:val="auto"/>
          <w:sz w:val="22"/>
          <w:szCs w:val="22"/>
          <w:lang w:val="en-ZA"/>
        </w:rPr>
        <w:id w:val="-862816746"/>
        <w:docPartObj>
          <w:docPartGallery w:val="Table of Contents"/>
          <w:docPartUnique/>
        </w:docPartObj>
      </w:sdtPr>
      <w:sdtEndPr>
        <w:rPr>
          <w:b/>
          <w:bCs/>
        </w:rPr>
      </w:sdtEndPr>
      <w:sdtContent>
        <w:p w14:paraId="6CD6DC3E" w14:textId="2B333375" w:rsidR="0050136B" w:rsidRPr="00403DF5" w:rsidRDefault="0050136B" w:rsidP="00403DF5">
          <w:pPr>
            <w:pStyle w:val="TOCHeading"/>
            <w:jc w:val="center"/>
            <w:rPr>
              <w:rFonts w:ascii="Arial" w:hAnsi="Arial" w:cs="Arial"/>
              <w:color w:val="auto"/>
              <w:sz w:val="30"/>
              <w:szCs w:val="30"/>
              <w:lang w:val="en-ZA"/>
            </w:rPr>
          </w:pPr>
          <w:r w:rsidRPr="00403DF5">
            <w:rPr>
              <w:rFonts w:ascii="Arial" w:hAnsi="Arial" w:cs="Arial"/>
              <w:color w:val="auto"/>
              <w:sz w:val="30"/>
              <w:szCs w:val="30"/>
              <w:lang w:val="en-ZA"/>
            </w:rPr>
            <w:t>Table of Contents</w:t>
          </w:r>
        </w:p>
        <w:p w14:paraId="68F7263F" w14:textId="244F5DF3" w:rsidR="00CC6FF6" w:rsidRDefault="0050136B">
          <w:pPr>
            <w:pStyle w:val="TOC1"/>
            <w:tabs>
              <w:tab w:val="right" w:leader="dot" w:pos="8790"/>
            </w:tabs>
            <w:rPr>
              <w:rFonts w:asciiTheme="minorHAnsi" w:eastAsiaTheme="minorEastAsia" w:hAnsiTheme="minorHAnsi" w:cstheme="minorBidi"/>
              <w:b w:val="0"/>
              <w:bCs w:val="0"/>
              <w:noProof/>
              <w:kern w:val="2"/>
              <w:sz w:val="24"/>
              <w:szCs w:val="24"/>
              <w:lang w:val="en-ZA" w:eastAsia="en-ZA"/>
              <w14:ligatures w14:val="standardContextual"/>
            </w:rPr>
          </w:pPr>
          <w:r w:rsidRPr="003F111D">
            <w:rPr>
              <w:rFonts w:ascii="Arial" w:hAnsi="Arial" w:cs="Arial"/>
              <w:lang w:val="en-ZA"/>
            </w:rPr>
            <w:fldChar w:fldCharType="begin"/>
          </w:r>
          <w:r w:rsidRPr="003F111D">
            <w:rPr>
              <w:rFonts w:ascii="Arial" w:hAnsi="Arial" w:cs="Arial"/>
              <w:lang w:val="en-ZA"/>
            </w:rPr>
            <w:instrText xml:space="preserve"> TOC \o "1-3" \h \z \u </w:instrText>
          </w:r>
          <w:r w:rsidRPr="003F111D">
            <w:rPr>
              <w:rFonts w:ascii="Arial" w:hAnsi="Arial" w:cs="Arial"/>
              <w:lang w:val="en-ZA"/>
            </w:rPr>
            <w:fldChar w:fldCharType="separate"/>
          </w:r>
          <w:hyperlink w:anchor="_Toc189212088" w:history="1">
            <w:r w:rsidR="00CC6FF6" w:rsidRPr="00145461">
              <w:rPr>
                <w:rStyle w:val="Hyperlink"/>
                <w:noProof/>
                <w:spacing w:val="-2"/>
                <w:w w:val="99"/>
              </w:rPr>
              <w:t>1.</w:t>
            </w:r>
            <w:r w:rsidR="00CC6FF6">
              <w:rPr>
                <w:rFonts w:asciiTheme="minorHAnsi" w:eastAsiaTheme="minorEastAsia" w:hAnsiTheme="minorHAnsi" w:cstheme="minorBidi"/>
                <w:b w:val="0"/>
                <w:bCs w:val="0"/>
                <w:noProof/>
                <w:kern w:val="2"/>
                <w:sz w:val="24"/>
                <w:szCs w:val="24"/>
                <w:lang w:val="en-ZA" w:eastAsia="en-ZA"/>
                <w14:ligatures w14:val="standardContextual"/>
              </w:rPr>
              <w:tab/>
            </w:r>
            <w:r w:rsidR="00CC6FF6" w:rsidRPr="00145461">
              <w:rPr>
                <w:rStyle w:val="Hyperlink"/>
                <w:noProof/>
              </w:rPr>
              <w:t>BACKGROUND</w:t>
            </w:r>
            <w:r w:rsidR="00CC6FF6">
              <w:rPr>
                <w:noProof/>
                <w:webHidden/>
              </w:rPr>
              <w:tab/>
            </w:r>
            <w:r w:rsidR="00CC6FF6">
              <w:rPr>
                <w:noProof/>
                <w:webHidden/>
              </w:rPr>
              <w:fldChar w:fldCharType="begin"/>
            </w:r>
            <w:r w:rsidR="00CC6FF6">
              <w:rPr>
                <w:noProof/>
                <w:webHidden/>
              </w:rPr>
              <w:instrText xml:space="preserve"> PAGEREF _Toc189212088 \h </w:instrText>
            </w:r>
            <w:r w:rsidR="00CC6FF6">
              <w:rPr>
                <w:noProof/>
                <w:webHidden/>
              </w:rPr>
            </w:r>
            <w:r w:rsidR="00CC6FF6">
              <w:rPr>
                <w:noProof/>
                <w:webHidden/>
              </w:rPr>
              <w:fldChar w:fldCharType="separate"/>
            </w:r>
            <w:r w:rsidR="00CC6FF6">
              <w:rPr>
                <w:noProof/>
                <w:webHidden/>
              </w:rPr>
              <w:t>3</w:t>
            </w:r>
            <w:r w:rsidR="00CC6FF6">
              <w:rPr>
                <w:noProof/>
                <w:webHidden/>
              </w:rPr>
              <w:fldChar w:fldCharType="end"/>
            </w:r>
          </w:hyperlink>
        </w:p>
        <w:p w14:paraId="6C832430" w14:textId="66D8442D" w:rsidR="00CC6FF6" w:rsidRDefault="00CC6FF6">
          <w:pPr>
            <w:pStyle w:val="TOC3"/>
            <w:tabs>
              <w:tab w:val="right" w:leader="dot" w:pos="8790"/>
            </w:tabs>
            <w:rPr>
              <w:rFonts w:asciiTheme="minorHAnsi" w:eastAsiaTheme="minorEastAsia" w:hAnsiTheme="minorHAnsi" w:cstheme="minorBidi"/>
              <w:noProof/>
              <w:kern w:val="2"/>
              <w:sz w:val="24"/>
              <w:szCs w:val="24"/>
              <w:lang w:val="en-ZA" w:eastAsia="en-ZA"/>
              <w14:ligatures w14:val="standardContextual"/>
            </w:rPr>
          </w:pPr>
          <w:hyperlink w:anchor="_Toc189212089" w:history="1">
            <w:r w:rsidRPr="00145461">
              <w:rPr>
                <w:rStyle w:val="Hyperlink"/>
                <w:noProof/>
                <w:spacing w:val="-2"/>
                <w:w w:val="99"/>
              </w:rPr>
              <w:t>1.1.</w:t>
            </w:r>
            <w:r>
              <w:rPr>
                <w:rFonts w:asciiTheme="minorHAnsi" w:eastAsiaTheme="minorEastAsia" w:hAnsiTheme="minorHAnsi" w:cstheme="minorBidi"/>
                <w:noProof/>
                <w:kern w:val="2"/>
                <w:sz w:val="24"/>
                <w:szCs w:val="24"/>
                <w:lang w:val="en-ZA" w:eastAsia="en-ZA"/>
                <w14:ligatures w14:val="standardContextual"/>
              </w:rPr>
              <w:tab/>
            </w:r>
            <w:r w:rsidRPr="00145461">
              <w:rPr>
                <w:rStyle w:val="Hyperlink"/>
                <w:noProof/>
                <w:spacing w:val="-1"/>
                <w:lang w:val="en-ZA"/>
              </w:rPr>
              <w:t>PROCESS</w:t>
            </w:r>
            <w:r w:rsidRPr="00145461">
              <w:rPr>
                <w:rStyle w:val="Hyperlink"/>
                <w:noProof/>
                <w:spacing w:val="-12"/>
                <w:lang w:val="en-ZA"/>
              </w:rPr>
              <w:t xml:space="preserve"> </w:t>
            </w:r>
            <w:r w:rsidRPr="00145461">
              <w:rPr>
                <w:rStyle w:val="Hyperlink"/>
                <w:noProof/>
                <w:spacing w:val="-1"/>
                <w:lang w:val="en-ZA"/>
              </w:rPr>
              <w:t>AND</w:t>
            </w:r>
            <w:r w:rsidRPr="00145461">
              <w:rPr>
                <w:rStyle w:val="Hyperlink"/>
                <w:noProof/>
                <w:spacing w:val="-12"/>
                <w:lang w:val="en-ZA"/>
              </w:rPr>
              <w:t xml:space="preserve"> </w:t>
            </w:r>
            <w:r w:rsidRPr="00145461">
              <w:rPr>
                <w:rStyle w:val="Hyperlink"/>
                <w:noProof/>
                <w:spacing w:val="-1"/>
                <w:lang w:val="en-ZA"/>
              </w:rPr>
              <w:t>PUBLIC</w:t>
            </w:r>
            <w:r w:rsidRPr="00145461">
              <w:rPr>
                <w:rStyle w:val="Hyperlink"/>
                <w:noProof/>
                <w:spacing w:val="-11"/>
                <w:lang w:val="en-ZA"/>
              </w:rPr>
              <w:t xml:space="preserve"> </w:t>
            </w:r>
            <w:r w:rsidRPr="00145461">
              <w:rPr>
                <w:rStyle w:val="Hyperlink"/>
                <w:noProof/>
                <w:lang w:val="en-ZA"/>
              </w:rPr>
              <w:t>COMMENTS</w:t>
            </w:r>
            <w:r>
              <w:rPr>
                <w:noProof/>
                <w:webHidden/>
              </w:rPr>
              <w:tab/>
            </w:r>
            <w:r>
              <w:rPr>
                <w:noProof/>
                <w:webHidden/>
              </w:rPr>
              <w:fldChar w:fldCharType="begin"/>
            </w:r>
            <w:r>
              <w:rPr>
                <w:noProof/>
                <w:webHidden/>
              </w:rPr>
              <w:instrText xml:space="preserve"> PAGEREF _Toc189212089 \h </w:instrText>
            </w:r>
            <w:r>
              <w:rPr>
                <w:noProof/>
                <w:webHidden/>
              </w:rPr>
            </w:r>
            <w:r>
              <w:rPr>
                <w:noProof/>
                <w:webHidden/>
              </w:rPr>
              <w:fldChar w:fldCharType="separate"/>
            </w:r>
            <w:r>
              <w:rPr>
                <w:noProof/>
                <w:webHidden/>
              </w:rPr>
              <w:t>4</w:t>
            </w:r>
            <w:r>
              <w:rPr>
                <w:noProof/>
                <w:webHidden/>
              </w:rPr>
              <w:fldChar w:fldCharType="end"/>
            </w:r>
          </w:hyperlink>
        </w:p>
        <w:p w14:paraId="7E103574" w14:textId="6681F15C" w:rsidR="00CC6FF6" w:rsidRDefault="00CC6FF6">
          <w:pPr>
            <w:pStyle w:val="TOC3"/>
            <w:tabs>
              <w:tab w:val="right" w:leader="dot" w:pos="8790"/>
            </w:tabs>
            <w:rPr>
              <w:rFonts w:asciiTheme="minorHAnsi" w:eastAsiaTheme="minorEastAsia" w:hAnsiTheme="minorHAnsi" w:cstheme="minorBidi"/>
              <w:noProof/>
              <w:kern w:val="2"/>
              <w:sz w:val="24"/>
              <w:szCs w:val="24"/>
              <w:lang w:val="en-ZA" w:eastAsia="en-ZA"/>
              <w14:ligatures w14:val="standardContextual"/>
            </w:rPr>
          </w:pPr>
          <w:hyperlink w:anchor="_Toc189212090" w:history="1">
            <w:r w:rsidRPr="00145461">
              <w:rPr>
                <w:rStyle w:val="Hyperlink"/>
                <w:noProof/>
                <w:spacing w:val="-2"/>
                <w:w w:val="99"/>
              </w:rPr>
              <w:t>1.2.</w:t>
            </w:r>
            <w:r>
              <w:rPr>
                <w:rFonts w:asciiTheme="minorHAnsi" w:eastAsiaTheme="minorEastAsia" w:hAnsiTheme="minorHAnsi" w:cstheme="minorBidi"/>
                <w:noProof/>
                <w:kern w:val="2"/>
                <w:sz w:val="24"/>
                <w:szCs w:val="24"/>
                <w:lang w:val="en-ZA" w:eastAsia="en-ZA"/>
                <w14:ligatures w14:val="standardContextual"/>
              </w:rPr>
              <w:tab/>
            </w:r>
            <w:r w:rsidRPr="00145461">
              <w:rPr>
                <w:rStyle w:val="Hyperlink"/>
                <w:noProof/>
                <w:spacing w:val="-1"/>
                <w:lang w:val="en-ZA"/>
              </w:rPr>
              <w:t>POLICY</w:t>
            </w:r>
            <w:r w:rsidRPr="00145461">
              <w:rPr>
                <w:rStyle w:val="Hyperlink"/>
                <w:noProof/>
                <w:spacing w:val="-14"/>
                <w:lang w:val="en-ZA"/>
              </w:rPr>
              <w:t xml:space="preserve"> </w:t>
            </w:r>
            <w:r w:rsidRPr="00145461">
              <w:rPr>
                <w:rStyle w:val="Hyperlink"/>
                <w:noProof/>
                <w:spacing w:val="-1"/>
                <w:lang w:val="en-ZA"/>
              </w:rPr>
              <w:t>ISSUES</w:t>
            </w:r>
            <w:r w:rsidRPr="00145461">
              <w:rPr>
                <w:rStyle w:val="Hyperlink"/>
                <w:noProof/>
                <w:spacing w:val="-10"/>
                <w:lang w:val="en-ZA"/>
              </w:rPr>
              <w:t xml:space="preserve"> </w:t>
            </w:r>
            <w:r w:rsidRPr="00145461">
              <w:rPr>
                <w:rStyle w:val="Hyperlink"/>
                <w:noProof/>
                <w:lang w:val="en-ZA"/>
              </w:rPr>
              <w:t>AND</w:t>
            </w:r>
            <w:r w:rsidRPr="00145461">
              <w:rPr>
                <w:rStyle w:val="Hyperlink"/>
                <w:noProof/>
                <w:spacing w:val="-13"/>
                <w:lang w:val="en-ZA"/>
              </w:rPr>
              <w:t xml:space="preserve"> </w:t>
            </w:r>
            <w:r w:rsidRPr="00145461">
              <w:rPr>
                <w:rStyle w:val="Hyperlink"/>
                <w:noProof/>
                <w:lang w:val="en-ZA"/>
              </w:rPr>
              <w:t>RESPONSES</w:t>
            </w:r>
            <w:r>
              <w:rPr>
                <w:noProof/>
                <w:webHidden/>
              </w:rPr>
              <w:tab/>
            </w:r>
            <w:r>
              <w:rPr>
                <w:noProof/>
                <w:webHidden/>
              </w:rPr>
              <w:fldChar w:fldCharType="begin"/>
            </w:r>
            <w:r>
              <w:rPr>
                <w:noProof/>
                <w:webHidden/>
              </w:rPr>
              <w:instrText xml:space="preserve"> PAGEREF _Toc189212090 \h </w:instrText>
            </w:r>
            <w:r>
              <w:rPr>
                <w:noProof/>
                <w:webHidden/>
              </w:rPr>
            </w:r>
            <w:r>
              <w:rPr>
                <w:noProof/>
                <w:webHidden/>
              </w:rPr>
              <w:fldChar w:fldCharType="separate"/>
            </w:r>
            <w:r>
              <w:rPr>
                <w:noProof/>
                <w:webHidden/>
              </w:rPr>
              <w:t>5</w:t>
            </w:r>
            <w:r>
              <w:rPr>
                <w:noProof/>
                <w:webHidden/>
              </w:rPr>
              <w:fldChar w:fldCharType="end"/>
            </w:r>
          </w:hyperlink>
        </w:p>
        <w:p w14:paraId="4EDF9242" w14:textId="4D035957" w:rsidR="00CC6FF6" w:rsidRDefault="00CC6FF6">
          <w:pPr>
            <w:pStyle w:val="TOC3"/>
            <w:tabs>
              <w:tab w:val="right" w:leader="dot" w:pos="8790"/>
            </w:tabs>
            <w:rPr>
              <w:rFonts w:asciiTheme="minorHAnsi" w:eastAsiaTheme="minorEastAsia" w:hAnsiTheme="minorHAnsi" w:cstheme="minorBidi"/>
              <w:noProof/>
              <w:kern w:val="2"/>
              <w:sz w:val="24"/>
              <w:szCs w:val="24"/>
              <w:lang w:val="en-ZA" w:eastAsia="en-ZA"/>
              <w14:ligatures w14:val="standardContextual"/>
            </w:rPr>
          </w:pPr>
          <w:hyperlink w:anchor="_Toc189212091" w:history="1">
            <w:r w:rsidRPr="00145461">
              <w:rPr>
                <w:rStyle w:val="Hyperlink"/>
                <w:noProof/>
                <w:spacing w:val="-2"/>
                <w:w w:val="99"/>
              </w:rPr>
              <w:t>1.3.</w:t>
            </w:r>
            <w:r>
              <w:rPr>
                <w:rFonts w:asciiTheme="minorHAnsi" w:eastAsiaTheme="minorEastAsia" w:hAnsiTheme="minorHAnsi" w:cstheme="minorBidi"/>
                <w:noProof/>
                <w:kern w:val="2"/>
                <w:sz w:val="24"/>
                <w:szCs w:val="24"/>
                <w:lang w:val="en-ZA" w:eastAsia="en-ZA"/>
                <w14:ligatures w14:val="standardContextual"/>
              </w:rPr>
              <w:tab/>
            </w:r>
            <w:r w:rsidRPr="00145461">
              <w:rPr>
                <w:rStyle w:val="Hyperlink"/>
                <w:noProof/>
                <w:lang w:val="en-ZA"/>
              </w:rPr>
              <w:t>SUMMARY</w:t>
            </w:r>
            <w:r>
              <w:rPr>
                <w:noProof/>
                <w:webHidden/>
              </w:rPr>
              <w:tab/>
            </w:r>
            <w:r>
              <w:rPr>
                <w:noProof/>
                <w:webHidden/>
              </w:rPr>
              <w:fldChar w:fldCharType="begin"/>
            </w:r>
            <w:r>
              <w:rPr>
                <w:noProof/>
                <w:webHidden/>
              </w:rPr>
              <w:instrText xml:space="preserve"> PAGEREF _Toc189212091 \h </w:instrText>
            </w:r>
            <w:r>
              <w:rPr>
                <w:noProof/>
                <w:webHidden/>
              </w:rPr>
            </w:r>
            <w:r>
              <w:rPr>
                <w:noProof/>
                <w:webHidden/>
              </w:rPr>
              <w:fldChar w:fldCharType="separate"/>
            </w:r>
            <w:r>
              <w:rPr>
                <w:noProof/>
                <w:webHidden/>
              </w:rPr>
              <w:t>5</w:t>
            </w:r>
            <w:r>
              <w:rPr>
                <w:noProof/>
                <w:webHidden/>
              </w:rPr>
              <w:fldChar w:fldCharType="end"/>
            </w:r>
          </w:hyperlink>
        </w:p>
        <w:p w14:paraId="71FAD633" w14:textId="15BB1FA3" w:rsidR="00CC6FF6" w:rsidRDefault="00CC6FF6">
          <w:pPr>
            <w:pStyle w:val="TOC1"/>
            <w:tabs>
              <w:tab w:val="right" w:leader="dot" w:pos="8790"/>
            </w:tabs>
            <w:rPr>
              <w:rFonts w:asciiTheme="minorHAnsi" w:eastAsiaTheme="minorEastAsia" w:hAnsiTheme="minorHAnsi" w:cstheme="minorBidi"/>
              <w:b w:val="0"/>
              <w:bCs w:val="0"/>
              <w:noProof/>
              <w:kern w:val="2"/>
              <w:sz w:val="24"/>
              <w:szCs w:val="24"/>
              <w:lang w:val="en-ZA" w:eastAsia="en-ZA"/>
              <w14:ligatures w14:val="standardContextual"/>
            </w:rPr>
          </w:pPr>
          <w:hyperlink w:anchor="_Toc189212092" w:history="1">
            <w:r w:rsidRPr="00145461">
              <w:rPr>
                <w:rStyle w:val="Hyperlink"/>
                <w:noProof/>
                <w:spacing w:val="-2"/>
                <w:w w:val="99"/>
              </w:rPr>
              <w:t>2.</w:t>
            </w:r>
            <w:r>
              <w:rPr>
                <w:rFonts w:asciiTheme="minorHAnsi" w:eastAsiaTheme="minorEastAsia" w:hAnsiTheme="minorHAnsi" w:cstheme="minorBidi"/>
                <w:b w:val="0"/>
                <w:bCs w:val="0"/>
                <w:noProof/>
                <w:kern w:val="2"/>
                <w:sz w:val="24"/>
                <w:szCs w:val="24"/>
                <w:lang w:val="en-ZA" w:eastAsia="en-ZA"/>
                <w14:ligatures w14:val="standardContextual"/>
              </w:rPr>
              <w:tab/>
            </w:r>
            <w:r w:rsidRPr="00145461">
              <w:rPr>
                <w:rStyle w:val="Hyperlink"/>
                <w:noProof/>
              </w:rPr>
              <w:t>TWO-POTS RETIREMENT SYSTEM</w:t>
            </w:r>
            <w:r>
              <w:rPr>
                <w:noProof/>
                <w:webHidden/>
              </w:rPr>
              <w:tab/>
            </w:r>
            <w:r>
              <w:rPr>
                <w:noProof/>
                <w:webHidden/>
              </w:rPr>
              <w:fldChar w:fldCharType="begin"/>
            </w:r>
            <w:r>
              <w:rPr>
                <w:noProof/>
                <w:webHidden/>
              </w:rPr>
              <w:instrText xml:space="preserve"> PAGEREF _Toc189212092 \h </w:instrText>
            </w:r>
            <w:r>
              <w:rPr>
                <w:noProof/>
                <w:webHidden/>
              </w:rPr>
            </w:r>
            <w:r>
              <w:rPr>
                <w:noProof/>
                <w:webHidden/>
              </w:rPr>
              <w:fldChar w:fldCharType="separate"/>
            </w:r>
            <w:r>
              <w:rPr>
                <w:noProof/>
                <w:webHidden/>
              </w:rPr>
              <w:t>6</w:t>
            </w:r>
            <w:r>
              <w:rPr>
                <w:noProof/>
                <w:webHidden/>
              </w:rPr>
              <w:fldChar w:fldCharType="end"/>
            </w:r>
          </w:hyperlink>
        </w:p>
        <w:p w14:paraId="3EF855C4" w14:textId="1B6FD710" w:rsidR="00CC6FF6" w:rsidRDefault="00CC6FF6">
          <w:pPr>
            <w:pStyle w:val="TOC3"/>
            <w:tabs>
              <w:tab w:val="right" w:leader="dot" w:pos="8790"/>
            </w:tabs>
            <w:rPr>
              <w:rFonts w:asciiTheme="minorHAnsi" w:eastAsiaTheme="minorEastAsia" w:hAnsiTheme="minorHAnsi" w:cstheme="minorBidi"/>
              <w:noProof/>
              <w:kern w:val="2"/>
              <w:sz w:val="24"/>
              <w:szCs w:val="24"/>
              <w:lang w:val="en-ZA" w:eastAsia="en-ZA"/>
              <w14:ligatures w14:val="standardContextual"/>
            </w:rPr>
          </w:pPr>
          <w:hyperlink w:anchor="_Toc189212093" w:history="1">
            <w:r w:rsidRPr="00145461">
              <w:rPr>
                <w:rStyle w:val="Hyperlink"/>
                <w:noProof/>
                <w:spacing w:val="-2"/>
                <w:w w:val="99"/>
              </w:rPr>
              <w:t>2.1.</w:t>
            </w:r>
            <w:r>
              <w:rPr>
                <w:rFonts w:asciiTheme="minorHAnsi" w:eastAsiaTheme="minorEastAsia" w:hAnsiTheme="minorHAnsi" w:cstheme="minorBidi"/>
                <w:noProof/>
                <w:kern w:val="2"/>
                <w:sz w:val="24"/>
                <w:szCs w:val="24"/>
                <w:lang w:val="en-ZA" w:eastAsia="en-ZA"/>
                <w14:ligatures w14:val="standardContextual"/>
              </w:rPr>
              <w:tab/>
            </w:r>
            <w:r w:rsidRPr="00145461">
              <w:rPr>
                <w:rStyle w:val="Hyperlink"/>
                <w:noProof/>
                <w:lang w:val="en-ZA"/>
              </w:rPr>
              <w:t>Two-pots retirement system</w:t>
            </w:r>
            <w:r>
              <w:rPr>
                <w:noProof/>
                <w:webHidden/>
              </w:rPr>
              <w:tab/>
            </w:r>
            <w:r>
              <w:rPr>
                <w:noProof/>
                <w:webHidden/>
              </w:rPr>
              <w:fldChar w:fldCharType="begin"/>
            </w:r>
            <w:r>
              <w:rPr>
                <w:noProof/>
                <w:webHidden/>
              </w:rPr>
              <w:instrText xml:space="preserve"> PAGEREF _Toc189212093 \h </w:instrText>
            </w:r>
            <w:r>
              <w:rPr>
                <w:noProof/>
                <w:webHidden/>
              </w:rPr>
            </w:r>
            <w:r>
              <w:rPr>
                <w:noProof/>
                <w:webHidden/>
              </w:rPr>
              <w:fldChar w:fldCharType="separate"/>
            </w:r>
            <w:r>
              <w:rPr>
                <w:noProof/>
                <w:webHidden/>
              </w:rPr>
              <w:t>6</w:t>
            </w:r>
            <w:r>
              <w:rPr>
                <w:noProof/>
                <w:webHidden/>
              </w:rPr>
              <w:fldChar w:fldCharType="end"/>
            </w:r>
          </w:hyperlink>
        </w:p>
        <w:p w14:paraId="57FF2821" w14:textId="795F43F1" w:rsidR="00CC6FF6" w:rsidRDefault="00CC6FF6">
          <w:pPr>
            <w:pStyle w:val="TOC1"/>
            <w:tabs>
              <w:tab w:val="right" w:leader="dot" w:pos="8790"/>
            </w:tabs>
            <w:rPr>
              <w:rFonts w:asciiTheme="minorHAnsi" w:eastAsiaTheme="minorEastAsia" w:hAnsiTheme="minorHAnsi" w:cstheme="minorBidi"/>
              <w:b w:val="0"/>
              <w:bCs w:val="0"/>
              <w:noProof/>
              <w:kern w:val="2"/>
              <w:sz w:val="24"/>
              <w:szCs w:val="24"/>
              <w:lang w:val="en-ZA" w:eastAsia="en-ZA"/>
              <w14:ligatures w14:val="standardContextual"/>
            </w:rPr>
          </w:pPr>
          <w:hyperlink w:anchor="_Toc189212094" w:history="1">
            <w:r w:rsidRPr="00145461">
              <w:rPr>
                <w:rStyle w:val="Hyperlink"/>
                <w:noProof/>
                <w:spacing w:val="-2"/>
                <w:w w:val="99"/>
              </w:rPr>
              <w:t>3.</w:t>
            </w:r>
            <w:r>
              <w:rPr>
                <w:rFonts w:asciiTheme="minorHAnsi" w:eastAsiaTheme="minorEastAsia" w:hAnsiTheme="minorHAnsi" w:cstheme="minorBidi"/>
                <w:b w:val="0"/>
                <w:bCs w:val="0"/>
                <w:noProof/>
                <w:kern w:val="2"/>
                <w:sz w:val="24"/>
                <w:szCs w:val="24"/>
                <w:lang w:val="en-ZA" w:eastAsia="en-ZA"/>
                <w14:ligatures w14:val="standardContextual"/>
              </w:rPr>
              <w:tab/>
            </w:r>
            <w:r w:rsidRPr="00145461">
              <w:rPr>
                <w:rStyle w:val="Hyperlink"/>
                <w:noProof/>
              </w:rPr>
              <w:t>CUSTOMS AND EXCISE: INCREASE IN THE EXCISE DUTY ON ALCOHOL, TOBACCO AND ELECTRONIC NICOTINE AND NON-NICOTINE DELIVERY SYSTEMS</w:t>
            </w:r>
            <w:r>
              <w:rPr>
                <w:noProof/>
                <w:webHidden/>
              </w:rPr>
              <w:tab/>
            </w:r>
            <w:r>
              <w:rPr>
                <w:noProof/>
                <w:webHidden/>
              </w:rPr>
              <w:fldChar w:fldCharType="begin"/>
            </w:r>
            <w:r>
              <w:rPr>
                <w:noProof/>
                <w:webHidden/>
              </w:rPr>
              <w:instrText xml:space="preserve"> PAGEREF _Toc189212094 \h </w:instrText>
            </w:r>
            <w:r>
              <w:rPr>
                <w:noProof/>
                <w:webHidden/>
              </w:rPr>
            </w:r>
            <w:r>
              <w:rPr>
                <w:noProof/>
                <w:webHidden/>
              </w:rPr>
              <w:fldChar w:fldCharType="separate"/>
            </w:r>
            <w:r>
              <w:rPr>
                <w:noProof/>
                <w:webHidden/>
              </w:rPr>
              <w:t>10</w:t>
            </w:r>
            <w:r>
              <w:rPr>
                <w:noProof/>
                <w:webHidden/>
              </w:rPr>
              <w:fldChar w:fldCharType="end"/>
            </w:r>
          </w:hyperlink>
        </w:p>
        <w:p w14:paraId="72B3515A" w14:textId="3D367AF3" w:rsidR="00CC6FF6" w:rsidRDefault="00CC6FF6">
          <w:pPr>
            <w:pStyle w:val="TOC3"/>
            <w:tabs>
              <w:tab w:val="right" w:leader="dot" w:pos="8790"/>
            </w:tabs>
            <w:rPr>
              <w:rFonts w:asciiTheme="minorHAnsi" w:eastAsiaTheme="minorEastAsia" w:hAnsiTheme="minorHAnsi" w:cstheme="minorBidi"/>
              <w:noProof/>
              <w:kern w:val="2"/>
              <w:sz w:val="24"/>
              <w:szCs w:val="24"/>
              <w:lang w:val="en-ZA" w:eastAsia="en-ZA"/>
              <w14:ligatures w14:val="standardContextual"/>
            </w:rPr>
          </w:pPr>
          <w:hyperlink w:anchor="_Toc189212095" w:history="1">
            <w:r w:rsidRPr="00145461">
              <w:rPr>
                <w:rStyle w:val="Hyperlink"/>
                <w:noProof/>
                <w:spacing w:val="-2"/>
                <w:w w:val="99"/>
              </w:rPr>
              <w:t>3.1.</w:t>
            </w:r>
            <w:r>
              <w:rPr>
                <w:rFonts w:asciiTheme="minorHAnsi" w:eastAsiaTheme="minorEastAsia" w:hAnsiTheme="minorHAnsi" w:cstheme="minorBidi"/>
                <w:noProof/>
                <w:kern w:val="2"/>
                <w:sz w:val="24"/>
                <w:szCs w:val="24"/>
                <w:lang w:val="en-ZA" w:eastAsia="en-ZA"/>
                <w14:ligatures w14:val="standardContextual"/>
              </w:rPr>
              <w:tab/>
            </w:r>
            <w:r w:rsidRPr="00145461">
              <w:rPr>
                <w:rStyle w:val="Hyperlink"/>
                <w:noProof/>
                <w:lang w:val="en-ZA"/>
              </w:rPr>
              <w:t>Increase in excise duty on tobacco</w:t>
            </w:r>
            <w:r>
              <w:rPr>
                <w:noProof/>
                <w:webHidden/>
              </w:rPr>
              <w:tab/>
            </w:r>
            <w:r>
              <w:rPr>
                <w:noProof/>
                <w:webHidden/>
              </w:rPr>
              <w:fldChar w:fldCharType="begin"/>
            </w:r>
            <w:r>
              <w:rPr>
                <w:noProof/>
                <w:webHidden/>
              </w:rPr>
              <w:instrText xml:space="preserve"> PAGEREF _Toc189212095 \h </w:instrText>
            </w:r>
            <w:r>
              <w:rPr>
                <w:noProof/>
                <w:webHidden/>
              </w:rPr>
            </w:r>
            <w:r>
              <w:rPr>
                <w:noProof/>
                <w:webHidden/>
              </w:rPr>
              <w:fldChar w:fldCharType="separate"/>
            </w:r>
            <w:r>
              <w:rPr>
                <w:noProof/>
                <w:webHidden/>
              </w:rPr>
              <w:t>10</w:t>
            </w:r>
            <w:r>
              <w:rPr>
                <w:noProof/>
                <w:webHidden/>
              </w:rPr>
              <w:fldChar w:fldCharType="end"/>
            </w:r>
          </w:hyperlink>
        </w:p>
        <w:p w14:paraId="6444E1F4" w14:textId="28D11067" w:rsidR="00CC6FF6" w:rsidRDefault="00CC6FF6">
          <w:pPr>
            <w:pStyle w:val="TOC3"/>
            <w:tabs>
              <w:tab w:val="right" w:leader="dot" w:pos="8790"/>
            </w:tabs>
            <w:rPr>
              <w:rFonts w:asciiTheme="minorHAnsi" w:eastAsiaTheme="minorEastAsia" w:hAnsiTheme="minorHAnsi" w:cstheme="minorBidi"/>
              <w:noProof/>
              <w:kern w:val="2"/>
              <w:sz w:val="24"/>
              <w:szCs w:val="24"/>
              <w:lang w:val="en-ZA" w:eastAsia="en-ZA"/>
              <w14:ligatures w14:val="standardContextual"/>
            </w:rPr>
          </w:pPr>
          <w:hyperlink w:anchor="_Toc189212096" w:history="1">
            <w:r w:rsidRPr="00145461">
              <w:rPr>
                <w:rStyle w:val="Hyperlink"/>
                <w:noProof/>
                <w:spacing w:val="-2"/>
                <w:w w:val="99"/>
              </w:rPr>
              <w:t>3.2.</w:t>
            </w:r>
            <w:r>
              <w:rPr>
                <w:rFonts w:asciiTheme="minorHAnsi" w:eastAsiaTheme="minorEastAsia" w:hAnsiTheme="minorHAnsi" w:cstheme="minorBidi"/>
                <w:noProof/>
                <w:kern w:val="2"/>
                <w:sz w:val="24"/>
                <w:szCs w:val="24"/>
                <w:lang w:val="en-ZA" w:eastAsia="en-ZA"/>
                <w14:ligatures w14:val="standardContextual"/>
              </w:rPr>
              <w:tab/>
            </w:r>
            <w:r w:rsidRPr="00145461">
              <w:rPr>
                <w:rStyle w:val="Hyperlink"/>
                <w:noProof/>
                <w:lang w:val="en-ZA"/>
              </w:rPr>
              <w:t>Increase in excise duty on alcohol products</w:t>
            </w:r>
            <w:r>
              <w:rPr>
                <w:noProof/>
                <w:webHidden/>
              </w:rPr>
              <w:tab/>
            </w:r>
            <w:r>
              <w:rPr>
                <w:noProof/>
                <w:webHidden/>
              </w:rPr>
              <w:fldChar w:fldCharType="begin"/>
            </w:r>
            <w:r>
              <w:rPr>
                <w:noProof/>
                <w:webHidden/>
              </w:rPr>
              <w:instrText xml:space="preserve"> PAGEREF _Toc189212096 \h </w:instrText>
            </w:r>
            <w:r>
              <w:rPr>
                <w:noProof/>
                <w:webHidden/>
              </w:rPr>
            </w:r>
            <w:r>
              <w:rPr>
                <w:noProof/>
                <w:webHidden/>
              </w:rPr>
              <w:fldChar w:fldCharType="separate"/>
            </w:r>
            <w:r>
              <w:rPr>
                <w:noProof/>
                <w:webHidden/>
              </w:rPr>
              <w:t>10</w:t>
            </w:r>
            <w:r>
              <w:rPr>
                <w:noProof/>
                <w:webHidden/>
              </w:rPr>
              <w:fldChar w:fldCharType="end"/>
            </w:r>
          </w:hyperlink>
        </w:p>
        <w:p w14:paraId="419D3C03" w14:textId="5DC4B68F" w:rsidR="00CC6FF6" w:rsidRDefault="00CC6FF6">
          <w:pPr>
            <w:pStyle w:val="TOC3"/>
            <w:tabs>
              <w:tab w:val="right" w:leader="dot" w:pos="8790"/>
            </w:tabs>
            <w:rPr>
              <w:rFonts w:asciiTheme="minorHAnsi" w:eastAsiaTheme="minorEastAsia" w:hAnsiTheme="minorHAnsi" w:cstheme="minorBidi"/>
              <w:noProof/>
              <w:kern w:val="2"/>
              <w:sz w:val="24"/>
              <w:szCs w:val="24"/>
              <w:lang w:val="en-ZA" w:eastAsia="en-ZA"/>
              <w14:ligatures w14:val="standardContextual"/>
            </w:rPr>
          </w:pPr>
          <w:hyperlink w:anchor="_Toc189212097" w:history="1">
            <w:r w:rsidRPr="00145461">
              <w:rPr>
                <w:rStyle w:val="Hyperlink"/>
                <w:noProof/>
                <w:spacing w:val="-2"/>
                <w:w w:val="99"/>
              </w:rPr>
              <w:t>3.3.</w:t>
            </w:r>
            <w:r>
              <w:rPr>
                <w:rFonts w:asciiTheme="minorHAnsi" w:eastAsiaTheme="minorEastAsia" w:hAnsiTheme="minorHAnsi" w:cstheme="minorBidi"/>
                <w:noProof/>
                <w:kern w:val="2"/>
                <w:sz w:val="24"/>
                <w:szCs w:val="24"/>
                <w:lang w:val="en-ZA" w:eastAsia="en-ZA"/>
                <w14:ligatures w14:val="standardContextual"/>
              </w:rPr>
              <w:tab/>
            </w:r>
            <w:r w:rsidRPr="00145461">
              <w:rPr>
                <w:rStyle w:val="Hyperlink"/>
                <w:noProof/>
                <w:lang w:val="en-ZA"/>
              </w:rPr>
              <w:t>Increase in excise duty on Electronic Nicotine &amp; Non-nicotine Systems</w:t>
            </w:r>
            <w:r>
              <w:rPr>
                <w:noProof/>
                <w:webHidden/>
              </w:rPr>
              <w:tab/>
            </w:r>
            <w:r>
              <w:rPr>
                <w:noProof/>
                <w:webHidden/>
              </w:rPr>
              <w:fldChar w:fldCharType="begin"/>
            </w:r>
            <w:r>
              <w:rPr>
                <w:noProof/>
                <w:webHidden/>
              </w:rPr>
              <w:instrText xml:space="preserve"> PAGEREF _Toc189212097 \h </w:instrText>
            </w:r>
            <w:r>
              <w:rPr>
                <w:noProof/>
                <w:webHidden/>
              </w:rPr>
            </w:r>
            <w:r>
              <w:rPr>
                <w:noProof/>
                <w:webHidden/>
              </w:rPr>
              <w:fldChar w:fldCharType="separate"/>
            </w:r>
            <w:r>
              <w:rPr>
                <w:noProof/>
                <w:webHidden/>
              </w:rPr>
              <w:t>13</w:t>
            </w:r>
            <w:r>
              <w:rPr>
                <w:noProof/>
                <w:webHidden/>
              </w:rPr>
              <w:fldChar w:fldCharType="end"/>
            </w:r>
          </w:hyperlink>
        </w:p>
        <w:p w14:paraId="481407EC" w14:textId="4D74F525" w:rsidR="00CC6FF6" w:rsidRDefault="00CC6FF6">
          <w:pPr>
            <w:pStyle w:val="TOC3"/>
            <w:tabs>
              <w:tab w:val="right" w:leader="dot" w:pos="8790"/>
            </w:tabs>
            <w:rPr>
              <w:rFonts w:asciiTheme="minorHAnsi" w:eastAsiaTheme="minorEastAsia" w:hAnsiTheme="minorHAnsi" w:cstheme="minorBidi"/>
              <w:noProof/>
              <w:kern w:val="2"/>
              <w:sz w:val="24"/>
              <w:szCs w:val="24"/>
              <w:lang w:val="en-ZA" w:eastAsia="en-ZA"/>
              <w14:ligatures w14:val="standardContextual"/>
            </w:rPr>
          </w:pPr>
          <w:hyperlink w:anchor="_Toc189212098" w:history="1">
            <w:r w:rsidRPr="00145461">
              <w:rPr>
                <w:rStyle w:val="Hyperlink"/>
                <w:noProof/>
                <w:spacing w:val="-2"/>
                <w:w w:val="99"/>
              </w:rPr>
              <w:t>3.4.</w:t>
            </w:r>
            <w:r>
              <w:rPr>
                <w:rFonts w:asciiTheme="minorHAnsi" w:eastAsiaTheme="minorEastAsia" w:hAnsiTheme="minorHAnsi" w:cstheme="minorBidi"/>
                <w:noProof/>
                <w:kern w:val="2"/>
                <w:sz w:val="24"/>
                <w:szCs w:val="24"/>
                <w:lang w:val="en-ZA" w:eastAsia="en-ZA"/>
                <w14:ligatures w14:val="standardContextual"/>
              </w:rPr>
              <w:tab/>
            </w:r>
            <w:r w:rsidRPr="00145461">
              <w:rPr>
                <w:rStyle w:val="Hyperlink"/>
                <w:noProof/>
                <w:lang w:val="en-ZA"/>
              </w:rPr>
              <w:t>Illicit trade in excisable products</w:t>
            </w:r>
            <w:r>
              <w:rPr>
                <w:noProof/>
                <w:webHidden/>
              </w:rPr>
              <w:tab/>
            </w:r>
            <w:r>
              <w:rPr>
                <w:noProof/>
                <w:webHidden/>
              </w:rPr>
              <w:fldChar w:fldCharType="begin"/>
            </w:r>
            <w:r>
              <w:rPr>
                <w:noProof/>
                <w:webHidden/>
              </w:rPr>
              <w:instrText xml:space="preserve"> PAGEREF _Toc189212098 \h </w:instrText>
            </w:r>
            <w:r>
              <w:rPr>
                <w:noProof/>
                <w:webHidden/>
              </w:rPr>
            </w:r>
            <w:r>
              <w:rPr>
                <w:noProof/>
                <w:webHidden/>
              </w:rPr>
              <w:fldChar w:fldCharType="separate"/>
            </w:r>
            <w:r>
              <w:rPr>
                <w:noProof/>
                <w:webHidden/>
              </w:rPr>
              <w:t>15</w:t>
            </w:r>
            <w:r>
              <w:rPr>
                <w:noProof/>
                <w:webHidden/>
              </w:rPr>
              <w:fldChar w:fldCharType="end"/>
            </w:r>
          </w:hyperlink>
        </w:p>
        <w:p w14:paraId="4380B17D" w14:textId="2F3153A6" w:rsidR="00CC6FF6" w:rsidRDefault="00CC6FF6">
          <w:pPr>
            <w:pStyle w:val="TOC3"/>
            <w:tabs>
              <w:tab w:val="right" w:leader="dot" w:pos="8790"/>
            </w:tabs>
            <w:rPr>
              <w:rFonts w:asciiTheme="minorHAnsi" w:eastAsiaTheme="minorEastAsia" w:hAnsiTheme="minorHAnsi" w:cstheme="minorBidi"/>
              <w:noProof/>
              <w:kern w:val="2"/>
              <w:sz w:val="24"/>
              <w:szCs w:val="24"/>
              <w:lang w:val="en-ZA" w:eastAsia="en-ZA"/>
              <w14:ligatures w14:val="standardContextual"/>
            </w:rPr>
          </w:pPr>
          <w:hyperlink w:anchor="_Toc189212099" w:history="1">
            <w:r w:rsidRPr="00145461">
              <w:rPr>
                <w:rStyle w:val="Hyperlink"/>
                <w:noProof/>
                <w:spacing w:val="-2"/>
                <w:w w:val="99"/>
              </w:rPr>
              <w:t>3.5.</w:t>
            </w:r>
            <w:r>
              <w:rPr>
                <w:rFonts w:asciiTheme="minorHAnsi" w:eastAsiaTheme="minorEastAsia" w:hAnsiTheme="minorHAnsi" w:cstheme="minorBidi"/>
                <w:noProof/>
                <w:kern w:val="2"/>
                <w:sz w:val="24"/>
                <w:szCs w:val="24"/>
                <w:lang w:val="en-ZA" w:eastAsia="en-ZA"/>
                <w14:ligatures w14:val="standardContextual"/>
              </w:rPr>
              <w:tab/>
            </w:r>
            <w:r w:rsidRPr="00145461">
              <w:rPr>
                <w:rStyle w:val="Hyperlink"/>
                <w:noProof/>
                <w:lang w:val="en-ZA"/>
              </w:rPr>
              <w:t>Other Administrative matters</w:t>
            </w:r>
            <w:r>
              <w:rPr>
                <w:noProof/>
                <w:webHidden/>
              </w:rPr>
              <w:tab/>
            </w:r>
            <w:r>
              <w:rPr>
                <w:noProof/>
                <w:webHidden/>
              </w:rPr>
              <w:fldChar w:fldCharType="begin"/>
            </w:r>
            <w:r>
              <w:rPr>
                <w:noProof/>
                <w:webHidden/>
              </w:rPr>
              <w:instrText xml:space="preserve"> PAGEREF _Toc189212099 \h </w:instrText>
            </w:r>
            <w:r>
              <w:rPr>
                <w:noProof/>
                <w:webHidden/>
              </w:rPr>
            </w:r>
            <w:r>
              <w:rPr>
                <w:noProof/>
                <w:webHidden/>
              </w:rPr>
              <w:fldChar w:fldCharType="separate"/>
            </w:r>
            <w:r>
              <w:rPr>
                <w:noProof/>
                <w:webHidden/>
              </w:rPr>
              <w:t>18</w:t>
            </w:r>
            <w:r>
              <w:rPr>
                <w:noProof/>
                <w:webHidden/>
              </w:rPr>
              <w:fldChar w:fldCharType="end"/>
            </w:r>
          </w:hyperlink>
        </w:p>
        <w:p w14:paraId="3B25F090" w14:textId="36AE880B" w:rsidR="00CC6FF6" w:rsidRDefault="00CC6FF6">
          <w:pPr>
            <w:pStyle w:val="TOC1"/>
            <w:tabs>
              <w:tab w:val="right" w:leader="dot" w:pos="8790"/>
            </w:tabs>
            <w:rPr>
              <w:rFonts w:asciiTheme="minorHAnsi" w:eastAsiaTheme="minorEastAsia" w:hAnsiTheme="minorHAnsi" w:cstheme="minorBidi"/>
              <w:b w:val="0"/>
              <w:bCs w:val="0"/>
              <w:noProof/>
              <w:kern w:val="2"/>
              <w:sz w:val="24"/>
              <w:szCs w:val="24"/>
              <w:lang w:val="en-ZA" w:eastAsia="en-ZA"/>
              <w14:ligatures w14:val="standardContextual"/>
            </w:rPr>
          </w:pPr>
          <w:hyperlink w:anchor="_Toc189212100" w:history="1">
            <w:r w:rsidRPr="00145461">
              <w:rPr>
                <w:rStyle w:val="Hyperlink"/>
                <w:noProof/>
                <w:spacing w:val="-2"/>
                <w:w w:val="99"/>
              </w:rPr>
              <w:t>4.</w:t>
            </w:r>
            <w:r>
              <w:rPr>
                <w:rFonts w:asciiTheme="minorHAnsi" w:eastAsiaTheme="minorEastAsia" w:hAnsiTheme="minorHAnsi" w:cstheme="minorBidi"/>
                <w:b w:val="0"/>
                <w:bCs w:val="0"/>
                <w:noProof/>
                <w:kern w:val="2"/>
                <w:sz w:val="24"/>
                <w:szCs w:val="24"/>
                <w:lang w:val="en-ZA" w:eastAsia="en-ZA"/>
                <w14:ligatures w14:val="standardContextual"/>
              </w:rPr>
              <w:tab/>
            </w:r>
            <w:r w:rsidRPr="00145461">
              <w:rPr>
                <w:rStyle w:val="Hyperlink"/>
                <w:noProof/>
              </w:rPr>
              <w:t>CARBON TAX</w:t>
            </w:r>
            <w:r>
              <w:rPr>
                <w:noProof/>
                <w:webHidden/>
              </w:rPr>
              <w:tab/>
            </w:r>
            <w:r>
              <w:rPr>
                <w:noProof/>
                <w:webHidden/>
              </w:rPr>
              <w:fldChar w:fldCharType="begin"/>
            </w:r>
            <w:r>
              <w:rPr>
                <w:noProof/>
                <w:webHidden/>
              </w:rPr>
              <w:instrText xml:space="preserve"> PAGEREF _Toc189212100 \h </w:instrText>
            </w:r>
            <w:r>
              <w:rPr>
                <w:noProof/>
                <w:webHidden/>
              </w:rPr>
            </w:r>
            <w:r>
              <w:rPr>
                <w:noProof/>
                <w:webHidden/>
              </w:rPr>
              <w:fldChar w:fldCharType="separate"/>
            </w:r>
            <w:r>
              <w:rPr>
                <w:noProof/>
                <w:webHidden/>
              </w:rPr>
              <w:t>20</w:t>
            </w:r>
            <w:r>
              <w:rPr>
                <w:noProof/>
                <w:webHidden/>
              </w:rPr>
              <w:fldChar w:fldCharType="end"/>
            </w:r>
          </w:hyperlink>
        </w:p>
        <w:p w14:paraId="398A8A39" w14:textId="5129E35D" w:rsidR="00CC6FF6" w:rsidRDefault="00CC6FF6">
          <w:pPr>
            <w:pStyle w:val="TOC3"/>
            <w:tabs>
              <w:tab w:val="right" w:leader="dot" w:pos="8790"/>
            </w:tabs>
            <w:rPr>
              <w:rFonts w:asciiTheme="minorHAnsi" w:eastAsiaTheme="minorEastAsia" w:hAnsiTheme="minorHAnsi" w:cstheme="minorBidi"/>
              <w:noProof/>
              <w:kern w:val="2"/>
              <w:sz w:val="24"/>
              <w:szCs w:val="24"/>
              <w:lang w:val="en-ZA" w:eastAsia="en-ZA"/>
              <w14:ligatures w14:val="standardContextual"/>
            </w:rPr>
          </w:pPr>
          <w:hyperlink w:anchor="_Toc189212101" w:history="1">
            <w:r w:rsidRPr="00145461">
              <w:rPr>
                <w:rStyle w:val="Hyperlink"/>
                <w:noProof/>
                <w:spacing w:val="-2"/>
                <w:w w:val="99"/>
              </w:rPr>
              <w:t>4.1.</w:t>
            </w:r>
            <w:r>
              <w:rPr>
                <w:rFonts w:asciiTheme="minorHAnsi" w:eastAsiaTheme="minorEastAsia" w:hAnsiTheme="minorHAnsi" w:cstheme="minorBidi"/>
                <w:noProof/>
                <w:kern w:val="2"/>
                <w:sz w:val="24"/>
                <w:szCs w:val="24"/>
                <w:lang w:val="en-ZA" w:eastAsia="en-ZA"/>
                <w14:ligatures w14:val="standardContextual"/>
              </w:rPr>
              <w:tab/>
            </w:r>
            <w:r w:rsidRPr="00145461">
              <w:rPr>
                <w:rStyle w:val="Hyperlink"/>
                <w:noProof/>
                <w:lang w:val="en-ZA"/>
              </w:rPr>
              <w:t>Renewable energy premium deduction</w:t>
            </w:r>
            <w:r>
              <w:rPr>
                <w:noProof/>
                <w:webHidden/>
              </w:rPr>
              <w:tab/>
            </w:r>
            <w:r>
              <w:rPr>
                <w:noProof/>
                <w:webHidden/>
              </w:rPr>
              <w:fldChar w:fldCharType="begin"/>
            </w:r>
            <w:r>
              <w:rPr>
                <w:noProof/>
                <w:webHidden/>
              </w:rPr>
              <w:instrText xml:space="preserve"> PAGEREF _Toc189212101 \h </w:instrText>
            </w:r>
            <w:r>
              <w:rPr>
                <w:noProof/>
                <w:webHidden/>
              </w:rPr>
            </w:r>
            <w:r>
              <w:rPr>
                <w:noProof/>
                <w:webHidden/>
              </w:rPr>
              <w:fldChar w:fldCharType="separate"/>
            </w:r>
            <w:r>
              <w:rPr>
                <w:noProof/>
                <w:webHidden/>
              </w:rPr>
              <w:t>20</w:t>
            </w:r>
            <w:r>
              <w:rPr>
                <w:noProof/>
                <w:webHidden/>
              </w:rPr>
              <w:fldChar w:fldCharType="end"/>
            </w:r>
          </w:hyperlink>
        </w:p>
        <w:p w14:paraId="12E5723E" w14:textId="72AFACCC" w:rsidR="00CC6FF6" w:rsidRDefault="00CC6FF6">
          <w:pPr>
            <w:pStyle w:val="TOC3"/>
            <w:tabs>
              <w:tab w:val="right" w:leader="dot" w:pos="8790"/>
            </w:tabs>
            <w:rPr>
              <w:rFonts w:asciiTheme="minorHAnsi" w:eastAsiaTheme="minorEastAsia" w:hAnsiTheme="minorHAnsi" w:cstheme="minorBidi"/>
              <w:noProof/>
              <w:kern w:val="2"/>
              <w:sz w:val="24"/>
              <w:szCs w:val="24"/>
              <w:lang w:val="en-ZA" w:eastAsia="en-ZA"/>
              <w14:ligatures w14:val="standardContextual"/>
            </w:rPr>
          </w:pPr>
          <w:hyperlink w:anchor="_Toc189212102" w:history="1">
            <w:r w:rsidRPr="00145461">
              <w:rPr>
                <w:rStyle w:val="Hyperlink"/>
                <w:noProof/>
                <w:spacing w:val="-2"/>
                <w:w w:val="99"/>
              </w:rPr>
              <w:t>4.2.</w:t>
            </w:r>
            <w:r>
              <w:rPr>
                <w:rFonts w:asciiTheme="minorHAnsi" w:eastAsiaTheme="minorEastAsia" w:hAnsiTheme="minorHAnsi" w:cstheme="minorBidi"/>
                <w:noProof/>
                <w:kern w:val="2"/>
                <w:sz w:val="24"/>
                <w:szCs w:val="24"/>
                <w:lang w:val="en-ZA" w:eastAsia="en-ZA"/>
                <w14:ligatures w14:val="standardContextual"/>
              </w:rPr>
              <w:tab/>
            </w:r>
            <w:r w:rsidRPr="00145461">
              <w:rPr>
                <w:rStyle w:val="Hyperlink"/>
                <w:noProof/>
                <w:lang w:val="en-ZA"/>
              </w:rPr>
              <w:t>Alignment of Fuel Combustion Emissions Factors and Net Calorific Values with Greenhouse Gas Emissions Methodological Guidelines</w:t>
            </w:r>
            <w:r>
              <w:rPr>
                <w:noProof/>
                <w:webHidden/>
              </w:rPr>
              <w:tab/>
            </w:r>
            <w:r>
              <w:rPr>
                <w:noProof/>
                <w:webHidden/>
              </w:rPr>
              <w:fldChar w:fldCharType="begin"/>
            </w:r>
            <w:r>
              <w:rPr>
                <w:noProof/>
                <w:webHidden/>
              </w:rPr>
              <w:instrText xml:space="preserve"> PAGEREF _Toc189212102 \h </w:instrText>
            </w:r>
            <w:r>
              <w:rPr>
                <w:noProof/>
                <w:webHidden/>
              </w:rPr>
            </w:r>
            <w:r>
              <w:rPr>
                <w:noProof/>
                <w:webHidden/>
              </w:rPr>
              <w:fldChar w:fldCharType="separate"/>
            </w:r>
            <w:r>
              <w:rPr>
                <w:noProof/>
                <w:webHidden/>
              </w:rPr>
              <w:t>20</w:t>
            </w:r>
            <w:r>
              <w:rPr>
                <w:noProof/>
                <w:webHidden/>
              </w:rPr>
              <w:fldChar w:fldCharType="end"/>
            </w:r>
          </w:hyperlink>
        </w:p>
        <w:p w14:paraId="075C7D95" w14:textId="73421FFD" w:rsidR="00CC6FF6" w:rsidRDefault="00CC6FF6">
          <w:pPr>
            <w:pStyle w:val="TOC3"/>
            <w:tabs>
              <w:tab w:val="right" w:leader="dot" w:pos="8790"/>
            </w:tabs>
            <w:rPr>
              <w:rFonts w:asciiTheme="minorHAnsi" w:eastAsiaTheme="minorEastAsia" w:hAnsiTheme="minorHAnsi" w:cstheme="minorBidi"/>
              <w:noProof/>
              <w:kern w:val="2"/>
              <w:sz w:val="24"/>
              <w:szCs w:val="24"/>
              <w:lang w:val="en-ZA" w:eastAsia="en-ZA"/>
              <w14:ligatures w14:val="standardContextual"/>
            </w:rPr>
          </w:pPr>
          <w:hyperlink w:anchor="_Toc189212103" w:history="1">
            <w:r w:rsidRPr="00145461">
              <w:rPr>
                <w:rStyle w:val="Hyperlink"/>
                <w:noProof/>
                <w:spacing w:val="-2"/>
                <w:w w:val="99"/>
              </w:rPr>
              <w:t>4.3.</w:t>
            </w:r>
            <w:r>
              <w:rPr>
                <w:rFonts w:asciiTheme="minorHAnsi" w:eastAsiaTheme="minorEastAsia" w:hAnsiTheme="minorHAnsi" w:cstheme="minorBidi"/>
                <w:noProof/>
                <w:kern w:val="2"/>
                <w:sz w:val="24"/>
                <w:szCs w:val="24"/>
                <w:lang w:val="en-ZA" w:eastAsia="en-ZA"/>
                <w14:ligatures w14:val="standardContextual"/>
              </w:rPr>
              <w:tab/>
            </w:r>
            <w:r w:rsidRPr="00145461">
              <w:rPr>
                <w:rStyle w:val="Hyperlink"/>
                <w:noProof/>
                <w:lang w:val="en-ZA"/>
              </w:rPr>
              <w:t>Aligning the Fugitive Emission Factors In Schedule 1 Of The Carbon Tax Act with the Greenhouse Gas Emission Methodological Guidelines</w:t>
            </w:r>
            <w:r>
              <w:rPr>
                <w:noProof/>
                <w:webHidden/>
              </w:rPr>
              <w:tab/>
            </w:r>
            <w:r>
              <w:rPr>
                <w:noProof/>
                <w:webHidden/>
              </w:rPr>
              <w:fldChar w:fldCharType="begin"/>
            </w:r>
            <w:r>
              <w:rPr>
                <w:noProof/>
                <w:webHidden/>
              </w:rPr>
              <w:instrText xml:space="preserve"> PAGEREF _Toc189212103 \h </w:instrText>
            </w:r>
            <w:r>
              <w:rPr>
                <w:noProof/>
                <w:webHidden/>
              </w:rPr>
            </w:r>
            <w:r>
              <w:rPr>
                <w:noProof/>
                <w:webHidden/>
              </w:rPr>
              <w:fldChar w:fldCharType="separate"/>
            </w:r>
            <w:r>
              <w:rPr>
                <w:noProof/>
                <w:webHidden/>
              </w:rPr>
              <w:t>22</w:t>
            </w:r>
            <w:r>
              <w:rPr>
                <w:noProof/>
                <w:webHidden/>
              </w:rPr>
              <w:fldChar w:fldCharType="end"/>
            </w:r>
          </w:hyperlink>
        </w:p>
        <w:p w14:paraId="024A746E" w14:textId="46C5C515" w:rsidR="00CC6FF6" w:rsidRDefault="00CC6FF6">
          <w:pPr>
            <w:pStyle w:val="TOC1"/>
            <w:tabs>
              <w:tab w:val="right" w:leader="dot" w:pos="8790"/>
            </w:tabs>
            <w:rPr>
              <w:rFonts w:asciiTheme="minorHAnsi" w:eastAsiaTheme="minorEastAsia" w:hAnsiTheme="minorHAnsi" w:cstheme="minorBidi"/>
              <w:b w:val="0"/>
              <w:bCs w:val="0"/>
              <w:noProof/>
              <w:kern w:val="2"/>
              <w:sz w:val="24"/>
              <w:szCs w:val="24"/>
              <w:lang w:val="en-ZA" w:eastAsia="en-ZA"/>
              <w14:ligatures w14:val="standardContextual"/>
            </w:rPr>
          </w:pPr>
          <w:hyperlink w:anchor="_Toc189212104" w:history="1">
            <w:r w:rsidRPr="00145461">
              <w:rPr>
                <w:rStyle w:val="Hyperlink"/>
                <w:noProof/>
                <w:spacing w:val="-2"/>
                <w:w w:val="99"/>
              </w:rPr>
              <w:t>5.</w:t>
            </w:r>
            <w:r>
              <w:rPr>
                <w:rFonts w:asciiTheme="minorHAnsi" w:eastAsiaTheme="minorEastAsia" w:hAnsiTheme="minorHAnsi" w:cstheme="minorBidi"/>
                <w:b w:val="0"/>
                <w:bCs w:val="0"/>
                <w:noProof/>
                <w:kern w:val="2"/>
                <w:sz w:val="24"/>
                <w:szCs w:val="24"/>
                <w:lang w:val="en-ZA" w:eastAsia="en-ZA"/>
                <w14:ligatures w14:val="standardContextual"/>
              </w:rPr>
              <w:tab/>
            </w:r>
            <w:r w:rsidRPr="00145461">
              <w:rPr>
                <w:rStyle w:val="Hyperlink"/>
                <w:noProof/>
              </w:rPr>
              <w:t>INCOME TAX: INDIVIDUALS, SAVINGS AND EMPLOYMENT</w:t>
            </w:r>
            <w:r>
              <w:rPr>
                <w:noProof/>
                <w:webHidden/>
              </w:rPr>
              <w:tab/>
            </w:r>
            <w:r>
              <w:rPr>
                <w:noProof/>
                <w:webHidden/>
              </w:rPr>
              <w:fldChar w:fldCharType="begin"/>
            </w:r>
            <w:r>
              <w:rPr>
                <w:noProof/>
                <w:webHidden/>
              </w:rPr>
              <w:instrText xml:space="preserve"> PAGEREF _Toc189212104 \h </w:instrText>
            </w:r>
            <w:r>
              <w:rPr>
                <w:noProof/>
                <w:webHidden/>
              </w:rPr>
            </w:r>
            <w:r>
              <w:rPr>
                <w:noProof/>
                <w:webHidden/>
              </w:rPr>
              <w:fldChar w:fldCharType="separate"/>
            </w:r>
            <w:r>
              <w:rPr>
                <w:noProof/>
                <w:webHidden/>
              </w:rPr>
              <w:t>23</w:t>
            </w:r>
            <w:r>
              <w:rPr>
                <w:noProof/>
                <w:webHidden/>
              </w:rPr>
              <w:fldChar w:fldCharType="end"/>
            </w:r>
          </w:hyperlink>
        </w:p>
        <w:p w14:paraId="7D615562" w14:textId="12348E6A" w:rsidR="00CC6FF6" w:rsidRDefault="00CC6FF6">
          <w:pPr>
            <w:pStyle w:val="TOC3"/>
            <w:tabs>
              <w:tab w:val="right" w:leader="dot" w:pos="8790"/>
            </w:tabs>
            <w:rPr>
              <w:rFonts w:asciiTheme="minorHAnsi" w:eastAsiaTheme="minorEastAsia" w:hAnsiTheme="minorHAnsi" w:cstheme="minorBidi"/>
              <w:noProof/>
              <w:kern w:val="2"/>
              <w:sz w:val="24"/>
              <w:szCs w:val="24"/>
              <w:lang w:val="en-ZA" w:eastAsia="en-ZA"/>
              <w14:ligatures w14:val="standardContextual"/>
            </w:rPr>
          </w:pPr>
          <w:hyperlink w:anchor="_Toc189212105" w:history="1">
            <w:r w:rsidRPr="00145461">
              <w:rPr>
                <w:rStyle w:val="Hyperlink"/>
                <w:noProof/>
                <w:spacing w:val="-2"/>
                <w:w w:val="99"/>
              </w:rPr>
              <w:t>5.1.</w:t>
            </w:r>
            <w:r>
              <w:rPr>
                <w:rFonts w:asciiTheme="minorHAnsi" w:eastAsiaTheme="minorEastAsia" w:hAnsiTheme="minorHAnsi" w:cstheme="minorBidi"/>
                <w:noProof/>
                <w:kern w:val="2"/>
                <w:sz w:val="24"/>
                <w:szCs w:val="24"/>
                <w:lang w:val="en-ZA" w:eastAsia="en-ZA"/>
                <w14:ligatures w14:val="standardContextual"/>
              </w:rPr>
              <w:tab/>
            </w:r>
            <w:r w:rsidRPr="00145461">
              <w:rPr>
                <w:rStyle w:val="Hyperlink"/>
                <w:noProof/>
                <w:lang w:val="en-ZA"/>
              </w:rPr>
              <w:t>Curbing the abuse of the Employment Tax Incentive Scheme</w:t>
            </w:r>
            <w:r>
              <w:rPr>
                <w:noProof/>
                <w:webHidden/>
              </w:rPr>
              <w:tab/>
            </w:r>
            <w:r>
              <w:rPr>
                <w:noProof/>
                <w:webHidden/>
              </w:rPr>
              <w:fldChar w:fldCharType="begin"/>
            </w:r>
            <w:r>
              <w:rPr>
                <w:noProof/>
                <w:webHidden/>
              </w:rPr>
              <w:instrText xml:space="preserve"> PAGEREF _Toc189212105 \h </w:instrText>
            </w:r>
            <w:r>
              <w:rPr>
                <w:noProof/>
                <w:webHidden/>
              </w:rPr>
            </w:r>
            <w:r>
              <w:rPr>
                <w:noProof/>
                <w:webHidden/>
              </w:rPr>
              <w:fldChar w:fldCharType="separate"/>
            </w:r>
            <w:r>
              <w:rPr>
                <w:noProof/>
                <w:webHidden/>
              </w:rPr>
              <w:t>23</w:t>
            </w:r>
            <w:r>
              <w:rPr>
                <w:noProof/>
                <w:webHidden/>
              </w:rPr>
              <w:fldChar w:fldCharType="end"/>
            </w:r>
          </w:hyperlink>
        </w:p>
        <w:p w14:paraId="1A157E00" w14:textId="070E2540" w:rsidR="00CC6FF6" w:rsidRDefault="00CC6FF6">
          <w:pPr>
            <w:pStyle w:val="TOC3"/>
            <w:tabs>
              <w:tab w:val="right" w:leader="dot" w:pos="8790"/>
            </w:tabs>
            <w:rPr>
              <w:rFonts w:asciiTheme="minorHAnsi" w:eastAsiaTheme="minorEastAsia" w:hAnsiTheme="minorHAnsi" w:cstheme="minorBidi"/>
              <w:noProof/>
              <w:kern w:val="2"/>
              <w:sz w:val="24"/>
              <w:szCs w:val="24"/>
              <w:lang w:val="en-ZA" w:eastAsia="en-ZA"/>
              <w14:ligatures w14:val="standardContextual"/>
            </w:rPr>
          </w:pPr>
          <w:hyperlink w:anchor="_Toc189212106" w:history="1">
            <w:r w:rsidRPr="00145461">
              <w:rPr>
                <w:rStyle w:val="Hyperlink"/>
                <w:noProof/>
                <w:spacing w:val="-2"/>
                <w:w w:val="99"/>
              </w:rPr>
              <w:t>5.2.</w:t>
            </w:r>
            <w:r>
              <w:rPr>
                <w:rFonts w:asciiTheme="minorHAnsi" w:eastAsiaTheme="minorEastAsia" w:hAnsiTheme="minorHAnsi" w:cstheme="minorBidi"/>
                <w:noProof/>
                <w:kern w:val="2"/>
                <w:sz w:val="24"/>
                <w:szCs w:val="24"/>
                <w:lang w:val="en-ZA" w:eastAsia="en-ZA"/>
                <w14:ligatures w14:val="standardContextual"/>
              </w:rPr>
              <w:tab/>
            </w:r>
            <w:r w:rsidRPr="00145461">
              <w:rPr>
                <w:rStyle w:val="Hyperlink"/>
                <w:noProof/>
                <w:lang w:val="en-ZA"/>
              </w:rPr>
              <w:t>Transfers between retirement funds by members who reached normal retirement age before retirement date</w:t>
            </w:r>
            <w:r>
              <w:rPr>
                <w:noProof/>
                <w:webHidden/>
              </w:rPr>
              <w:tab/>
            </w:r>
            <w:r>
              <w:rPr>
                <w:noProof/>
                <w:webHidden/>
              </w:rPr>
              <w:fldChar w:fldCharType="begin"/>
            </w:r>
            <w:r>
              <w:rPr>
                <w:noProof/>
                <w:webHidden/>
              </w:rPr>
              <w:instrText xml:space="preserve"> PAGEREF _Toc189212106 \h </w:instrText>
            </w:r>
            <w:r>
              <w:rPr>
                <w:noProof/>
                <w:webHidden/>
              </w:rPr>
            </w:r>
            <w:r>
              <w:rPr>
                <w:noProof/>
                <w:webHidden/>
              </w:rPr>
              <w:fldChar w:fldCharType="separate"/>
            </w:r>
            <w:r>
              <w:rPr>
                <w:noProof/>
                <w:webHidden/>
              </w:rPr>
              <w:t>24</w:t>
            </w:r>
            <w:r>
              <w:rPr>
                <w:noProof/>
                <w:webHidden/>
              </w:rPr>
              <w:fldChar w:fldCharType="end"/>
            </w:r>
          </w:hyperlink>
        </w:p>
        <w:p w14:paraId="458F980C" w14:textId="08010072" w:rsidR="00CC6FF6" w:rsidRDefault="00CC6FF6">
          <w:pPr>
            <w:pStyle w:val="TOC3"/>
            <w:tabs>
              <w:tab w:val="right" w:leader="dot" w:pos="8790"/>
            </w:tabs>
            <w:rPr>
              <w:rFonts w:asciiTheme="minorHAnsi" w:eastAsiaTheme="minorEastAsia" w:hAnsiTheme="minorHAnsi" w:cstheme="minorBidi"/>
              <w:noProof/>
              <w:kern w:val="2"/>
              <w:sz w:val="24"/>
              <w:szCs w:val="24"/>
              <w:lang w:val="en-ZA" w:eastAsia="en-ZA"/>
              <w14:ligatures w14:val="standardContextual"/>
            </w:rPr>
          </w:pPr>
          <w:hyperlink w:anchor="_Toc189212107" w:history="1">
            <w:r w:rsidRPr="00145461">
              <w:rPr>
                <w:rStyle w:val="Hyperlink"/>
                <w:noProof/>
                <w:spacing w:val="-2"/>
                <w:w w:val="99"/>
              </w:rPr>
              <w:t>5.3.</w:t>
            </w:r>
            <w:r>
              <w:rPr>
                <w:rFonts w:asciiTheme="minorHAnsi" w:eastAsiaTheme="minorEastAsia" w:hAnsiTheme="minorHAnsi" w:cstheme="minorBidi"/>
                <w:noProof/>
                <w:kern w:val="2"/>
                <w:sz w:val="24"/>
                <w:szCs w:val="24"/>
                <w:lang w:val="en-ZA" w:eastAsia="en-ZA"/>
                <w14:ligatures w14:val="standardContextual"/>
              </w:rPr>
              <w:tab/>
            </w:r>
            <w:r w:rsidRPr="00145461">
              <w:rPr>
                <w:rStyle w:val="Hyperlink"/>
                <w:noProof/>
                <w:lang w:val="en-ZA"/>
              </w:rPr>
              <w:t>Clarifying anti-avoidance rules for low-interest or interest-free loans to trusts</w:t>
            </w:r>
            <w:r>
              <w:rPr>
                <w:noProof/>
                <w:webHidden/>
              </w:rPr>
              <w:tab/>
            </w:r>
            <w:r>
              <w:rPr>
                <w:noProof/>
                <w:webHidden/>
              </w:rPr>
              <w:fldChar w:fldCharType="begin"/>
            </w:r>
            <w:r>
              <w:rPr>
                <w:noProof/>
                <w:webHidden/>
              </w:rPr>
              <w:instrText xml:space="preserve"> PAGEREF _Toc189212107 \h </w:instrText>
            </w:r>
            <w:r>
              <w:rPr>
                <w:noProof/>
                <w:webHidden/>
              </w:rPr>
            </w:r>
            <w:r>
              <w:rPr>
                <w:noProof/>
                <w:webHidden/>
              </w:rPr>
              <w:fldChar w:fldCharType="separate"/>
            </w:r>
            <w:r>
              <w:rPr>
                <w:noProof/>
                <w:webHidden/>
              </w:rPr>
              <w:t>25</w:t>
            </w:r>
            <w:r>
              <w:rPr>
                <w:noProof/>
                <w:webHidden/>
              </w:rPr>
              <w:fldChar w:fldCharType="end"/>
            </w:r>
          </w:hyperlink>
        </w:p>
        <w:p w14:paraId="30C8DA3A" w14:textId="2C94F580" w:rsidR="00CC6FF6" w:rsidRDefault="00CC6FF6">
          <w:pPr>
            <w:pStyle w:val="TOC1"/>
            <w:tabs>
              <w:tab w:val="right" w:leader="dot" w:pos="8790"/>
            </w:tabs>
            <w:rPr>
              <w:rFonts w:asciiTheme="minorHAnsi" w:eastAsiaTheme="minorEastAsia" w:hAnsiTheme="minorHAnsi" w:cstheme="minorBidi"/>
              <w:b w:val="0"/>
              <w:bCs w:val="0"/>
              <w:noProof/>
              <w:kern w:val="2"/>
              <w:sz w:val="24"/>
              <w:szCs w:val="24"/>
              <w:lang w:val="en-ZA" w:eastAsia="en-ZA"/>
              <w14:ligatures w14:val="standardContextual"/>
            </w:rPr>
          </w:pPr>
          <w:hyperlink w:anchor="_Toc189212108" w:history="1">
            <w:r w:rsidRPr="00145461">
              <w:rPr>
                <w:rStyle w:val="Hyperlink"/>
                <w:noProof/>
                <w:spacing w:val="-2"/>
                <w:w w:val="99"/>
              </w:rPr>
              <w:t>6.</w:t>
            </w:r>
            <w:r>
              <w:rPr>
                <w:rFonts w:asciiTheme="minorHAnsi" w:eastAsiaTheme="minorEastAsia" w:hAnsiTheme="minorHAnsi" w:cstheme="minorBidi"/>
                <w:b w:val="0"/>
                <w:bCs w:val="0"/>
                <w:noProof/>
                <w:kern w:val="2"/>
                <w:sz w:val="24"/>
                <w:szCs w:val="24"/>
                <w:lang w:val="en-ZA" w:eastAsia="en-ZA"/>
                <w14:ligatures w14:val="standardContextual"/>
              </w:rPr>
              <w:tab/>
            </w:r>
            <w:r w:rsidRPr="00145461">
              <w:rPr>
                <w:rStyle w:val="Hyperlink"/>
                <w:noProof/>
              </w:rPr>
              <w:t>INCOME TAX: GENERAL BUSINESS TAX</w:t>
            </w:r>
            <w:r>
              <w:rPr>
                <w:noProof/>
                <w:webHidden/>
              </w:rPr>
              <w:tab/>
            </w:r>
            <w:r>
              <w:rPr>
                <w:noProof/>
                <w:webHidden/>
              </w:rPr>
              <w:fldChar w:fldCharType="begin"/>
            </w:r>
            <w:r>
              <w:rPr>
                <w:noProof/>
                <w:webHidden/>
              </w:rPr>
              <w:instrText xml:space="preserve"> PAGEREF _Toc189212108 \h </w:instrText>
            </w:r>
            <w:r>
              <w:rPr>
                <w:noProof/>
                <w:webHidden/>
              </w:rPr>
            </w:r>
            <w:r>
              <w:rPr>
                <w:noProof/>
                <w:webHidden/>
              </w:rPr>
              <w:fldChar w:fldCharType="separate"/>
            </w:r>
            <w:r>
              <w:rPr>
                <w:noProof/>
                <w:webHidden/>
              </w:rPr>
              <w:t>26</w:t>
            </w:r>
            <w:r>
              <w:rPr>
                <w:noProof/>
                <w:webHidden/>
              </w:rPr>
              <w:fldChar w:fldCharType="end"/>
            </w:r>
          </w:hyperlink>
        </w:p>
        <w:p w14:paraId="2468C30E" w14:textId="0958C02D" w:rsidR="00CC6FF6" w:rsidRDefault="00CC6FF6">
          <w:pPr>
            <w:pStyle w:val="TOC3"/>
            <w:tabs>
              <w:tab w:val="right" w:leader="dot" w:pos="8790"/>
            </w:tabs>
            <w:rPr>
              <w:rFonts w:asciiTheme="minorHAnsi" w:eastAsiaTheme="minorEastAsia" w:hAnsiTheme="minorHAnsi" w:cstheme="minorBidi"/>
              <w:noProof/>
              <w:kern w:val="2"/>
              <w:sz w:val="24"/>
              <w:szCs w:val="24"/>
              <w:lang w:val="en-ZA" w:eastAsia="en-ZA"/>
              <w14:ligatures w14:val="standardContextual"/>
            </w:rPr>
          </w:pPr>
          <w:hyperlink w:anchor="_Toc189212109" w:history="1">
            <w:r w:rsidRPr="00145461">
              <w:rPr>
                <w:rStyle w:val="Hyperlink"/>
                <w:noProof/>
                <w:spacing w:val="-2"/>
                <w:w w:val="99"/>
              </w:rPr>
              <w:t>6.1.</w:t>
            </w:r>
            <w:r>
              <w:rPr>
                <w:rFonts w:asciiTheme="minorHAnsi" w:eastAsiaTheme="minorEastAsia" w:hAnsiTheme="minorHAnsi" w:cstheme="minorBidi"/>
                <w:noProof/>
                <w:kern w:val="2"/>
                <w:sz w:val="24"/>
                <w:szCs w:val="24"/>
                <w:lang w:val="en-ZA" w:eastAsia="en-ZA"/>
                <w14:ligatures w14:val="standardContextual"/>
              </w:rPr>
              <w:tab/>
            </w:r>
            <w:r w:rsidRPr="00145461">
              <w:rPr>
                <w:rStyle w:val="Hyperlink"/>
                <w:noProof/>
                <w:lang w:val="en-ZA"/>
              </w:rPr>
              <w:t>Reviewing the connected person definition in relation to partnerships</w:t>
            </w:r>
            <w:r>
              <w:rPr>
                <w:noProof/>
                <w:webHidden/>
              </w:rPr>
              <w:tab/>
            </w:r>
            <w:r>
              <w:rPr>
                <w:noProof/>
                <w:webHidden/>
              </w:rPr>
              <w:fldChar w:fldCharType="begin"/>
            </w:r>
            <w:r>
              <w:rPr>
                <w:noProof/>
                <w:webHidden/>
              </w:rPr>
              <w:instrText xml:space="preserve"> PAGEREF _Toc189212109 \h </w:instrText>
            </w:r>
            <w:r>
              <w:rPr>
                <w:noProof/>
                <w:webHidden/>
              </w:rPr>
            </w:r>
            <w:r>
              <w:rPr>
                <w:noProof/>
                <w:webHidden/>
              </w:rPr>
              <w:fldChar w:fldCharType="separate"/>
            </w:r>
            <w:r>
              <w:rPr>
                <w:noProof/>
                <w:webHidden/>
              </w:rPr>
              <w:t>26</w:t>
            </w:r>
            <w:r>
              <w:rPr>
                <w:noProof/>
                <w:webHidden/>
              </w:rPr>
              <w:fldChar w:fldCharType="end"/>
            </w:r>
          </w:hyperlink>
        </w:p>
        <w:p w14:paraId="620FBDB6" w14:textId="5B544660" w:rsidR="00CC6FF6" w:rsidRDefault="00CC6FF6">
          <w:pPr>
            <w:pStyle w:val="TOC3"/>
            <w:tabs>
              <w:tab w:val="right" w:leader="dot" w:pos="8790"/>
            </w:tabs>
            <w:rPr>
              <w:rFonts w:asciiTheme="minorHAnsi" w:eastAsiaTheme="minorEastAsia" w:hAnsiTheme="minorHAnsi" w:cstheme="minorBidi"/>
              <w:noProof/>
              <w:kern w:val="2"/>
              <w:sz w:val="24"/>
              <w:szCs w:val="24"/>
              <w:lang w:val="en-ZA" w:eastAsia="en-ZA"/>
              <w14:ligatures w14:val="standardContextual"/>
            </w:rPr>
          </w:pPr>
          <w:hyperlink w:anchor="_Toc189212110" w:history="1">
            <w:r w:rsidRPr="00145461">
              <w:rPr>
                <w:rStyle w:val="Hyperlink"/>
                <w:noProof/>
                <w:spacing w:val="-2"/>
                <w:w w:val="99"/>
              </w:rPr>
              <w:t>6.2.</w:t>
            </w:r>
            <w:r>
              <w:rPr>
                <w:rFonts w:asciiTheme="minorHAnsi" w:eastAsiaTheme="minorEastAsia" w:hAnsiTheme="minorHAnsi" w:cstheme="minorBidi"/>
                <w:noProof/>
                <w:kern w:val="2"/>
                <w:sz w:val="24"/>
                <w:szCs w:val="24"/>
                <w:lang w:val="en-ZA" w:eastAsia="en-ZA"/>
                <w14:ligatures w14:val="standardContextual"/>
              </w:rPr>
              <w:tab/>
            </w:r>
            <w:r w:rsidRPr="00145461">
              <w:rPr>
                <w:rStyle w:val="Hyperlink"/>
                <w:noProof/>
                <w:lang w:val="en-ZA"/>
              </w:rPr>
              <w:t>Limiting interest deductions in respect of reorganisation and acquisition transactions</w:t>
            </w:r>
            <w:r>
              <w:rPr>
                <w:noProof/>
                <w:webHidden/>
              </w:rPr>
              <w:tab/>
            </w:r>
            <w:r>
              <w:rPr>
                <w:noProof/>
                <w:webHidden/>
              </w:rPr>
              <w:fldChar w:fldCharType="begin"/>
            </w:r>
            <w:r>
              <w:rPr>
                <w:noProof/>
                <w:webHidden/>
              </w:rPr>
              <w:instrText xml:space="preserve"> PAGEREF _Toc189212110 \h </w:instrText>
            </w:r>
            <w:r>
              <w:rPr>
                <w:noProof/>
                <w:webHidden/>
              </w:rPr>
            </w:r>
            <w:r>
              <w:rPr>
                <w:noProof/>
                <w:webHidden/>
              </w:rPr>
              <w:fldChar w:fldCharType="separate"/>
            </w:r>
            <w:r>
              <w:rPr>
                <w:noProof/>
                <w:webHidden/>
              </w:rPr>
              <w:t>27</w:t>
            </w:r>
            <w:r>
              <w:rPr>
                <w:noProof/>
                <w:webHidden/>
              </w:rPr>
              <w:fldChar w:fldCharType="end"/>
            </w:r>
          </w:hyperlink>
        </w:p>
        <w:p w14:paraId="10EDCFDA" w14:textId="333979A2" w:rsidR="00CC6FF6" w:rsidRDefault="00CC6FF6">
          <w:pPr>
            <w:pStyle w:val="TOC3"/>
            <w:tabs>
              <w:tab w:val="right" w:leader="dot" w:pos="8790"/>
            </w:tabs>
            <w:rPr>
              <w:rFonts w:asciiTheme="minorHAnsi" w:eastAsiaTheme="minorEastAsia" w:hAnsiTheme="minorHAnsi" w:cstheme="minorBidi"/>
              <w:noProof/>
              <w:kern w:val="2"/>
              <w:sz w:val="24"/>
              <w:szCs w:val="24"/>
              <w:lang w:val="en-ZA" w:eastAsia="en-ZA"/>
              <w14:ligatures w14:val="standardContextual"/>
            </w:rPr>
          </w:pPr>
          <w:hyperlink w:anchor="_Toc189212111" w:history="1">
            <w:r w:rsidRPr="00145461">
              <w:rPr>
                <w:rStyle w:val="Hyperlink"/>
                <w:noProof/>
                <w:spacing w:val="-2"/>
                <w:w w:val="99"/>
              </w:rPr>
              <w:t>6.3.</w:t>
            </w:r>
            <w:r>
              <w:rPr>
                <w:rFonts w:asciiTheme="minorHAnsi" w:eastAsiaTheme="minorEastAsia" w:hAnsiTheme="minorHAnsi" w:cstheme="minorBidi"/>
                <w:noProof/>
                <w:kern w:val="2"/>
                <w:sz w:val="24"/>
                <w:szCs w:val="24"/>
                <w:lang w:val="en-ZA" w:eastAsia="en-ZA"/>
                <w14:ligatures w14:val="standardContextual"/>
              </w:rPr>
              <w:tab/>
            </w:r>
            <w:r w:rsidRPr="00145461">
              <w:rPr>
                <w:rStyle w:val="Hyperlink"/>
                <w:noProof/>
                <w:lang w:val="en-ZA"/>
              </w:rPr>
              <w:t>Relaxing the assessed loss restriction rule under certain circumstances</w:t>
            </w:r>
            <w:r>
              <w:rPr>
                <w:noProof/>
                <w:webHidden/>
              </w:rPr>
              <w:tab/>
            </w:r>
            <w:r>
              <w:rPr>
                <w:noProof/>
                <w:webHidden/>
              </w:rPr>
              <w:fldChar w:fldCharType="begin"/>
            </w:r>
            <w:r>
              <w:rPr>
                <w:noProof/>
                <w:webHidden/>
              </w:rPr>
              <w:instrText xml:space="preserve"> PAGEREF _Toc189212111 \h </w:instrText>
            </w:r>
            <w:r>
              <w:rPr>
                <w:noProof/>
                <w:webHidden/>
              </w:rPr>
            </w:r>
            <w:r>
              <w:rPr>
                <w:noProof/>
                <w:webHidden/>
              </w:rPr>
              <w:fldChar w:fldCharType="separate"/>
            </w:r>
            <w:r>
              <w:rPr>
                <w:noProof/>
                <w:webHidden/>
              </w:rPr>
              <w:t>28</w:t>
            </w:r>
            <w:r>
              <w:rPr>
                <w:noProof/>
                <w:webHidden/>
              </w:rPr>
              <w:fldChar w:fldCharType="end"/>
            </w:r>
          </w:hyperlink>
        </w:p>
        <w:p w14:paraId="0E4BA4C8" w14:textId="084AB51B" w:rsidR="00CC6FF6" w:rsidRDefault="00CC6FF6">
          <w:pPr>
            <w:pStyle w:val="TOC3"/>
            <w:tabs>
              <w:tab w:val="right" w:leader="dot" w:pos="8790"/>
            </w:tabs>
            <w:rPr>
              <w:rFonts w:asciiTheme="minorHAnsi" w:eastAsiaTheme="minorEastAsia" w:hAnsiTheme="minorHAnsi" w:cstheme="minorBidi"/>
              <w:noProof/>
              <w:kern w:val="2"/>
              <w:sz w:val="24"/>
              <w:szCs w:val="24"/>
              <w:lang w:val="en-ZA" w:eastAsia="en-ZA"/>
              <w14:ligatures w14:val="standardContextual"/>
            </w:rPr>
          </w:pPr>
          <w:hyperlink w:anchor="_Toc189212112" w:history="1">
            <w:r w:rsidRPr="00145461">
              <w:rPr>
                <w:rStyle w:val="Hyperlink"/>
                <w:noProof/>
                <w:spacing w:val="-2"/>
                <w:w w:val="99"/>
              </w:rPr>
              <w:t>6.4.</w:t>
            </w:r>
            <w:r>
              <w:rPr>
                <w:rFonts w:asciiTheme="minorHAnsi" w:eastAsiaTheme="minorEastAsia" w:hAnsiTheme="minorHAnsi" w:cstheme="minorBidi"/>
                <w:noProof/>
                <w:kern w:val="2"/>
                <w:sz w:val="24"/>
                <w:szCs w:val="24"/>
                <w:lang w:val="en-ZA" w:eastAsia="en-ZA"/>
                <w14:ligatures w14:val="standardContextual"/>
              </w:rPr>
              <w:tab/>
            </w:r>
            <w:r w:rsidRPr="00145461">
              <w:rPr>
                <w:rStyle w:val="Hyperlink"/>
                <w:noProof/>
                <w:lang w:val="en-ZA"/>
              </w:rPr>
              <w:t>Taxation issues involving unlisted property industry</w:t>
            </w:r>
            <w:r>
              <w:rPr>
                <w:noProof/>
                <w:webHidden/>
              </w:rPr>
              <w:tab/>
            </w:r>
            <w:r>
              <w:rPr>
                <w:noProof/>
                <w:webHidden/>
              </w:rPr>
              <w:fldChar w:fldCharType="begin"/>
            </w:r>
            <w:r>
              <w:rPr>
                <w:noProof/>
                <w:webHidden/>
              </w:rPr>
              <w:instrText xml:space="preserve"> PAGEREF _Toc189212112 \h </w:instrText>
            </w:r>
            <w:r>
              <w:rPr>
                <w:noProof/>
                <w:webHidden/>
              </w:rPr>
            </w:r>
            <w:r>
              <w:rPr>
                <w:noProof/>
                <w:webHidden/>
              </w:rPr>
              <w:fldChar w:fldCharType="separate"/>
            </w:r>
            <w:r>
              <w:rPr>
                <w:noProof/>
                <w:webHidden/>
              </w:rPr>
              <w:t>29</w:t>
            </w:r>
            <w:r>
              <w:rPr>
                <w:noProof/>
                <w:webHidden/>
              </w:rPr>
              <w:fldChar w:fldCharType="end"/>
            </w:r>
          </w:hyperlink>
        </w:p>
        <w:p w14:paraId="06FD442F" w14:textId="27B1A67B" w:rsidR="00CC6FF6" w:rsidRDefault="00CC6FF6">
          <w:pPr>
            <w:pStyle w:val="TOC3"/>
            <w:tabs>
              <w:tab w:val="right" w:leader="dot" w:pos="8790"/>
            </w:tabs>
            <w:rPr>
              <w:rFonts w:asciiTheme="minorHAnsi" w:eastAsiaTheme="minorEastAsia" w:hAnsiTheme="minorHAnsi" w:cstheme="minorBidi"/>
              <w:noProof/>
              <w:kern w:val="2"/>
              <w:sz w:val="24"/>
              <w:szCs w:val="24"/>
              <w:lang w:val="en-ZA" w:eastAsia="en-ZA"/>
              <w14:ligatures w14:val="standardContextual"/>
            </w:rPr>
          </w:pPr>
          <w:hyperlink w:anchor="_Toc189212113" w:history="1">
            <w:r w:rsidRPr="00145461">
              <w:rPr>
                <w:rStyle w:val="Hyperlink"/>
                <w:noProof/>
                <w:spacing w:val="-2"/>
                <w:w w:val="99"/>
              </w:rPr>
              <w:t>6.5.</w:t>
            </w:r>
            <w:r>
              <w:rPr>
                <w:rFonts w:asciiTheme="minorHAnsi" w:eastAsiaTheme="minorEastAsia" w:hAnsiTheme="minorHAnsi" w:cstheme="minorBidi"/>
                <w:noProof/>
                <w:kern w:val="2"/>
                <w:sz w:val="24"/>
                <w:szCs w:val="24"/>
                <w:lang w:val="en-ZA" w:eastAsia="en-ZA"/>
                <w14:ligatures w14:val="standardContextual"/>
              </w:rPr>
              <w:tab/>
            </w:r>
            <w:r w:rsidRPr="00145461">
              <w:rPr>
                <w:rStyle w:val="Hyperlink"/>
                <w:noProof/>
                <w:lang w:val="en-ZA"/>
              </w:rPr>
              <w:t>Clarification of the interest limitation rules</w:t>
            </w:r>
            <w:r>
              <w:rPr>
                <w:noProof/>
                <w:webHidden/>
              </w:rPr>
              <w:tab/>
            </w:r>
            <w:r>
              <w:rPr>
                <w:noProof/>
                <w:webHidden/>
              </w:rPr>
              <w:fldChar w:fldCharType="begin"/>
            </w:r>
            <w:r>
              <w:rPr>
                <w:noProof/>
                <w:webHidden/>
              </w:rPr>
              <w:instrText xml:space="preserve"> PAGEREF _Toc189212113 \h </w:instrText>
            </w:r>
            <w:r>
              <w:rPr>
                <w:noProof/>
                <w:webHidden/>
              </w:rPr>
            </w:r>
            <w:r>
              <w:rPr>
                <w:noProof/>
                <w:webHidden/>
              </w:rPr>
              <w:fldChar w:fldCharType="separate"/>
            </w:r>
            <w:r>
              <w:rPr>
                <w:noProof/>
                <w:webHidden/>
              </w:rPr>
              <w:t>30</w:t>
            </w:r>
            <w:r>
              <w:rPr>
                <w:noProof/>
                <w:webHidden/>
              </w:rPr>
              <w:fldChar w:fldCharType="end"/>
            </w:r>
          </w:hyperlink>
        </w:p>
        <w:p w14:paraId="3D2D630A" w14:textId="3A976571" w:rsidR="00CC6FF6" w:rsidRDefault="00CC6FF6">
          <w:pPr>
            <w:pStyle w:val="TOC3"/>
            <w:tabs>
              <w:tab w:val="right" w:leader="dot" w:pos="8790"/>
            </w:tabs>
            <w:rPr>
              <w:rFonts w:asciiTheme="minorHAnsi" w:eastAsiaTheme="minorEastAsia" w:hAnsiTheme="minorHAnsi" w:cstheme="minorBidi"/>
              <w:noProof/>
              <w:kern w:val="2"/>
              <w:sz w:val="24"/>
              <w:szCs w:val="24"/>
              <w:lang w:val="en-ZA" w:eastAsia="en-ZA"/>
              <w14:ligatures w14:val="standardContextual"/>
            </w:rPr>
          </w:pPr>
          <w:hyperlink w:anchor="_Toc189212114" w:history="1">
            <w:r w:rsidRPr="00145461">
              <w:rPr>
                <w:rStyle w:val="Hyperlink"/>
                <w:noProof/>
                <w:spacing w:val="-2"/>
                <w:w w:val="99"/>
              </w:rPr>
              <w:t>6.6.</w:t>
            </w:r>
            <w:r>
              <w:rPr>
                <w:rFonts w:asciiTheme="minorHAnsi" w:eastAsiaTheme="minorEastAsia" w:hAnsiTheme="minorHAnsi" w:cstheme="minorBidi"/>
                <w:noProof/>
                <w:kern w:val="2"/>
                <w:sz w:val="24"/>
                <w:szCs w:val="24"/>
                <w:lang w:val="en-ZA" w:eastAsia="en-ZA"/>
                <w14:ligatures w14:val="standardContextual"/>
              </w:rPr>
              <w:tab/>
            </w:r>
            <w:r w:rsidRPr="00145461">
              <w:rPr>
                <w:rStyle w:val="Hyperlink"/>
                <w:noProof/>
                <w:lang w:val="en-ZA"/>
              </w:rPr>
              <w:t>Third-party backed shares: extending exclusions to the ownership requirement in section 8EA ending the definition of “enforcement right” to a connected person in section 8EA</w:t>
            </w:r>
            <w:r>
              <w:rPr>
                <w:noProof/>
                <w:webHidden/>
              </w:rPr>
              <w:tab/>
            </w:r>
            <w:r>
              <w:rPr>
                <w:noProof/>
                <w:webHidden/>
              </w:rPr>
              <w:fldChar w:fldCharType="begin"/>
            </w:r>
            <w:r>
              <w:rPr>
                <w:noProof/>
                <w:webHidden/>
              </w:rPr>
              <w:instrText xml:space="preserve"> PAGEREF _Toc189212114 \h </w:instrText>
            </w:r>
            <w:r>
              <w:rPr>
                <w:noProof/>
                <w:webHidden/>
              </w:rPr>
            </w:r>
            <w:r>
              <w:rPr>
                <w:noProof/>
                <w:webHidden/>
              </w:rPr>
              <w:fldChar w:fldCharType="separate"/>
            </w:r>
            <w:r>
              <w:rPr>
                <w:noProof/>
                <w:webHidden/>
              </w:rPr>
              <w:t>31</w:t>
            </w:r>
            <w:r>
              <w:rPr>
                <w:noProof/>
                <w:webHidden/>
              </w:rPr>
              <w:fldChar w:fldCharType="end"/>
            </w:r>
          </w:hyperlink>
        </w:p>
        <w:p w14:paraId="113D57AB" w14:textId="5D4EE8A4" w:rsidR="00CC6FF6" w:rsidRDefault="00CC6FF6">
          <w:pPr>
            <w:pStyle w:val="TOC3"/>
            <w:tabs>
              <w:tab w:val="right" w:leader="dot" w:pos="8790"/>
            </w:tabs>
            <w:rPr>
              <w:rFonts w:asciiTheme="minorHAnsi" w:eastAsiaTheme="minorEastAsia" w:hAnsiTheme="minorHAnsi" w:cstheme="minorBidi"/>
              <w:noProof/>
              <w:kern w:val="2"/>
              <w:sz w:val="24"/>
              <w:szCs w:val="24"/>
              <w:lang w:val="en-ZA" w:eastAsia="en-ZA"/>
              <w14:ligatures w14:val="standardContextual"/>
            </w:rPr>
          </w:pPr>
          <w:hyperlink w:anchor="_Toc189212115" w:history="1">
            <w:r w:rsidRPr="00145461">
              <w:rPr>
                <w:rStyle w:val="Hyperlink"/>
                <w:noProof/>
                <w:spacing w:val="-2"/>
                <w:w w:val="99"/>
              </w:rPr>
              <w:t>6.7.</w:t>
            </w:r>
            <w:r>
              <w:rPr>
                <w:rFonts w:asciiTheme="minorHAnsi" w:eastAsiaTheme="minorEastAsia" w:hAnsiTheme="minorHAnsi" w:cstheme="minorBidi"/>
                <w:noProof/>
                <w:kern w:val="2"/>
                <w:sz w:val="24"/>
                <w:szCs w:val="24"/>
                <w:lang w:val="en-ZA" w:eastAsia="en-ZA"/>
                <w14:ligatures w14:val="standardContextual"/>
              </w:rPr>
              <w:tab/>
            </w:r>
            <w:r w:rsidRPr="00145461">
              <w:rPr>
                <w:rStyle w:val="Hyperlink"/>
                <w:noProof/>
                <w:lang w:val="en-ZA"/>
              </w:rPr>
              <w:t>Translating “contributed tax capital” from foreign currency to rands</w:t>
            </w:r>
            <w:r>
              <w:rPr>
                <w:noProof/>
                <w:webHidden/>
              </w:rPr>
              <w:tab/>
            </w:r>
            <w:r>
              <w:rPr>
                <w:noProof/>
                <w:webHidden/>
              </w:rPr>
              <w:fldChar w:fldCharType="begin"/>
            </w:r>
            <w:r>
              <w:rPr>
                <w:noProof/>
                <w:webHidden/>
              </w:rPr>
              <w:instrText xml:space="preserve"> PAGEREF _Toc189212115 \h </w:instrText>
            </w:r>
            <w:r>
              <w:rPr>
                <w:noProof/>
                <w:webHidden/>
              </w:rPr>
            </w:r>
            <w:r>
              <w:rPr>
                <w:noProof/>
                <w:webHidden/>
              </w:rPr>
              <w:fldChar w:fldCharType="separate"/>
            </w:r>
            <w:r>
              <w:rPr>
                <w:noProof/>
                <w:webHidden/>
              </w:rPr>
              <w:t>32</w:t>
            </w:r>
            <w:r>
              <w:rPr>
                <w:noProof/>
                <w:webHidden/>
              </w:rPr>
              <w:fldChar w:fldCharType="end"/>
            </w:r>
          </w:hyperlink>
        </w:p>
        <w:p w14:paraId="7958F736" w14:textId="2704829B" w:rsidR="00CC6FF6" w:rsidRDefault="00CC6FF6">
          <w:pPr>
            <w:pStyle w:val="TOC1"/>
            <w:tabs>
              <w:tab w:val="right" w:leader="dot" w:pos="8790"/>
            </w:tabs>
            <w:rPr>
              <w:rFonts w:asciiTheme="minorHAnsi" w:eastAsiaTheme="minorEastAsia" w:hAnsiTheme="minorHAnsi" w:cstheme="minorBidi"/>
              <w:b w:val="0"/>
              <w:bCs w:val="0"/>
              <w:noProof/>
              <w:kern w:val="2"/>
              <w:sz w:val="24"/>
              <w:szCs w:val="24"/>
              <w:lang w:val="en-ZA" w:eastAsia="en-ZA"/>
              <w14:ligatures w14:val="standardContextual"/>
            </w:rPr>
          </w:pPr>
          <w:hyperlink w:anchor="_Toc189212116" w:history="1">
            <w:r w:rsidRPr="00145461">
              <w:rPr>
                <w:rStyle w:val="Hyperlink"/>
                <w:noProof/>
                <w:spacing w:val="-2"/>
                <w:w w:val="99"/>
              </w:rPr>
              <w:t>7.</w:t>
            </w:r>
            <w:r>
              <w:rPr>
                <w:rFonts w:asciiTheme="minorHAnsi" w:eastAsiaTheme="minorEastAsia" w:hAnsiTheme="minorHAnsi" w:cstheme="minorBidi"/>
                <w:b w:val="0"/>
                <w:bCs w:val="0"/>
                <w:noProof/>
                <w:kern w:val="2"/>
                <w:sz w:val="24"/>
                <w:szCs w:val="24"/>
                <w:lang w:val="en-ZA" w:eastAsia="en-ZA"/>
                <w14:ligatures w14:val="standardContextual"/>
              </w:rPr>
              <w:tab/>
            </w:r>
            <w:r w:rsidRPr="00145461">
              <w:rPr>
                <w:rStyle w:val="Hyperlink"/>
                <w:noProof/>
              </w:rPr>
              <w:t>INCOME TAX: TAXATION OF FINANCIAL INSTITUTIONS AND PRODUCTS</w:t>
            </w:r>
            <w:r>
              <w:rPr>
                <w:noProof/>
                <w:webHidden/>
              </w:rPr>
              <w:tab/>
            </w:r>
            <w:r>
              <w:rPr>
                <w:noProof/>
                <w:webHidden/>
              </w:rPr>
              <w:fldChar w:fldCharType="begin"/>
            </w:r>
            <w:r>
              <w:rPr>
                <w:noProof/>
                <w:webHidden/>
              </w:rPr>
              <w:instrText xml:space="preserve"> PAGEREF _Toc189212116 \h </w:instrText>
            </w:r>
            <w:r>
              <w:rPr>
                <w:noProof/>
                <w:webHidden/>
              </w:rPr>
            </w:r>
            <w:r>
              <w:rPr>
                <w:noProof/>
                <w:webHidden/>
              </w:rPr>
              <w:fldChar w:fldCharType="separate"/>
            </w:r>
            <w:r>
              <w:rPr>
                <w:noProof/>
                <w:webHidden/>
              </w:rPr>
              <w:t>34</w:t>
            </w:r>
            <w:r>
              <w:rPr>
                <w:noProof/>
                <w:webHidden/>
              </w:rPr>
              <w:fldChar w:fldCharType="end"/>
            </w:r>
          </w:hyperlink>
        </w:p>
        <w:p w14:paraId="6510C661" w14:textId="5013562C" w:rsidR="00CC6FF6" w:rsidRDefault="00CC6FF6">
          <w:pPr>
            <w:pStyle w:val="TOC3"/>
            <w:tabs>
              <w:tab w:val="right" w:leader="dot" w:pos="8790"/>
            </w:tabs>
            <w:rPr>
              <w:rFonts w:asciiTheme="minorHAnsi" w:eastAsiaTheme="minorEastAsia" w:hAnsiTheme="minorHAnsi" w:cstheme="minorBidi"/>
              <w:noProof/>
              <w:kern w:val="2"/>
              <w:sz w:val="24"/>
              <w:szCs w:val="24"/>
              <w:lang w:val="en-ZA" w:eastAsia="en-ZA"/>
              <w14:ligatures w14:val="standardContextual"/>
            </w:rPr>
          </w:pPr>
          <w:hyperlink w:anchor="_Toc189212117" w:history="1">
            <w:r w:rsidRPr="00145461">
              <w:rPr>
                <w:rStyle w:val="Hyperlink"/>
                <w:noProof/>
                <w:spacing w:val="-2"/>
                <w:w w:val="99"/>
              </w:rPr>
              <w:t>7.1.</w:t>
            </w:r>
            <w:r>
              <w:rPr>
                <w:rFonts w:asciiTheme="minorHAnsi" w:eastAsiaTheme="minorEastAsia" w:hAnsiTheme="minorHAnsi" w:cstheme="minorBidi"/>
                <w:noProof/>
                <w:kern w:val="2"/>
                <w:sz w:val="24"/>
                <w:szCs w:val="24"/>
                <w:lang w:val="en-ZA" w:eastAsia="en-ZA"/>
                <w14:ligatures w14:val="standardContextual"/>
              </w:rPr>
              <w:tab/>
            </w:r>
            <w:r w:rsidRPr="00145461">
              <w:rPr>
                <w:rStyle w:val="Hyperlink"/>
                <w:noProof/>
                <w:lang w:val="en-ZA"/>
              </w:rPr>
              <w:t>Impact of IFRS17 insurance contracts on the taxation of short term and long- term insurers</w:t>
            </w:r>
            <w:r>
              <w:rPr>
                <w:noProof/>
                <w:webHidden/>
              </w:rPr>
              <w:tab/>
            </w:r>
            <w:r>
              <w:rPr>
                <w:noProof/>
                <w:webHidden/>
              </w:rPr>
              <w:fldChar w:fldCharType="begin"/>
            </w:r>
            <w:r>
              <w:rPr>
                <w:noProof/>
                <w:webHidden/>
              </w:rPr>
              <w:instrText xml:space="preserve"> PAGEREF _Toc189212117 \h </w:instrText>
            </w:r>
            <w:r>
              <w:rPr>
                <w:noProof/>
                <w:webHidden/>
              </w:rPr>
            </w:r>
            <w:r>
              <w:rPr>
                <w:noProof/>
                <w:webHidden/>
              </w:rPr>
              <w:fldChar w:fldCharType="separate"/>
            </w:r>
            <w:r>
              <w:rPr>
                <w:noProof/>
                <w:webHidden/>
              </w:rPr>
              <w:t>34</w:t>
            </w:r>
            <w:r>
              <w:rPr>
                <w:noProof/>
                <w:webHidden/>
              </w:rPr>
              <w:fldChar w:fldCharType="end"/>
            </w:r>
          </w:hyperlink>
        </w:p>
        <w:p w14:paraId="4F976981" w14:textId="0058B0D8" w:rsidR="00CC6FF6" w:rsidRDefault="00CC6FF6">
          <w:pPr>
            <w:pStyle w:val="TOC1"/>
            <w:tabs>
              <w:tab w:val="right" w:leader="dot" w:pos="8790"/>
            </w:tabs>
            <w:rPr>
              <w:rFonts w:asciiTheme="minorHAnsi" w:eastAsiaTheme="minorEastAsia" w:hAnsiTheme="minorHAnsi" w:cstheme="minorBidi"/>
              <w:b w:val="0"/>
              <w:bCs w:val="0"/>
              <w:noProof/>
              <w:kern w:val="2"/>
              <w:sz w:val="24"/>
              <w:szCs w:val="24"/>
              <w:lang w:val="en-ZA" w:eastAsia="en-ZA"/>
              <w14:ligatures w14:val="standardContextual"/>
            </w:rPr>
          </w:pPr>
          <w:hyperlink w:anchor="_Toc189212118" w:history="1">
            <w:r w:rsidRPr="00145461">
              <w:rPr>
                <w:rStyle w:val="Hyperlink"/>
                <w:noProof/>
                <w:spacing w:val="-2"/>
                <w:w w:val="99"/>
              </w:rPr>
              <w:t>8.</w:t>
            </w:r>
            <w:r>
              <w:rPr>
                <w:rFonts w:asciiTheme="minorHAnsi" w:eastAsiaTheme="minorEastAsia" w:hAnsiTheme="minorHAnsi" w:cstheme="minorBidi"/>
                <w:b w:val="0"/>
                <w:bCs w:val="0"/>
                <w:noProof/>
                <w:kern w:val="2"/>
                <w:sz w:val="24"/>
                <w:szCs w:val="24"/>
                <w:lang w:val="en-ZA" w:eastAsia="en-ZA"/>
                <w14:ligatures w14:val="standardContextual"/>
              </w:rPr>
              <w:tab/>
            </w:r>
            <w:r w:rsidRPr="00145461">
              <w:rPr>
                <w:rStyle w:val="Hyperlink"/>
                <w:noProof/>
              </w:rPr>
              <w:t>INCOME TAX: BUSINESS INCENTIVES</w:t>
            </w:r>
            <w:r>
              <w:rPr>
                <w:noProof/>
                <w:webHidden/>
              </w:rPr>
              <w:tab/>
            </w:r>
            <w:r>
              <w:rPr>
                <w:noProof/>
                <w:webHidden/>
              </w:rPr>
              <w:fldChar w:fldCharType="begin"/>
            </w:r>
            <w:r>
              <w:rPr>
                <w:noProof/>
                <w:webHidden/>
              </w:rPr>
              <w:instrText xml:space="preserve"> PAGEREF _Toc189212118 \h </w:instrText>
            </w:r>
            <w:r>
              <w:rPr>
                <w:noProof/>
                <w:webHidden/>
              </w:rPr>
            </w:r>
            <w:r>
              <w:rPr>
                <w:noProof/>
                <w:webHidden/>
              </w:rPr>
              <w:fldChar w:fldCharType="separate"/>
            </w:r>
            <w:r>
              <w:rPr>
                <w:noProof/>
                <w:webHidden/>
              </w:rPr>
              <w:t>36</w:t>
            </w:r>
            <w:r>
              <w:rPr>
                <w:noProof/>
                <w:webHidden/>
              </w:rPr>
              <w:fldChar w:fldCharType="end"/>
            </w:r>
          </w:hyperlink>
        </w:p>
        <w:p w14:paraId="7EB753C6" w14:textId="6BBD40B1" w:rsidR="00CC6FF6" w:rsidRDefault="00CC6FF6">
          <w:pPr>
            <w:pStyle w:val="TOC3"/>
            <w:tabs>
              <w:tab w:val="right" w:leader="dot" w:pos="8790"/>
            </w:tabs>
            <w:rPr>
              <w:rFonts w:asciiTheme="minorHAnsi" w:eastAsiaTheme="minorEastAsia" w:hAnsiTheme="minorHAnsi" w:cstheme="minorBidi"/>
              <w:noProof/>
              <w:kern w:val="2"/>
              <w:sz w:val="24"/>
              <w:szCs w:val="24"/>
              <w:lang w:val="en-ZA" w:eastAsia="en-ZA"/>
              <w14:ligatures w14:val="standardContextual"/>
            </w:rPr>
          </w:pPr>
          <w:hyperlink w:anchor="_Toc189212119" w:history="1">
            <w:r w:rsidRPr="00145461">
              <w:rPr>
                <w:rStyle w:val="Hyperlink"/>
                <w:noProof/>
                <w:spacing w:val="-2"/>
                <w:w w:val="99"/>
              </w:rPr>
              <w:t>8.1.</w:t>
            </w:r>
            <w:r>
              <w:rPr>
                <w:rFonts w:asciiTheme="minorHAnsi" w:eastAsiaTheme="minorEastAsia" w:hAnsiTheme="minorHAnsi" w:cstheme="minorBidi"/>
                <w:noProof/>
                <w:kern w:val="2"/>
                <w:sz w:val="24"/>
                <w:szCs w:val="24"/>
                <w:lang w:val="en-ZA" w:eastAsia="en-ZA"/>
                <w14:ligatures w14:val="standardContextual"/>
              </w:rPr>
              <w:tab/>
            </w:r>
            <w:r w:rsidRPr="00145461">
              <w:rPr>
                <w:rStyle w:val="Hyperlink"/>
                <w:noProof/>
                <w:lang w:val="en-ZA"/>
              </w:rPr>
              <w:t>DEDUCTIONS IN RESPECT OF SCIENTIFIC OR TECHNOLOGICAL RESEARCH AND DEVELOPMENT</w:t>
            </w:r>
            <w:r>
              <w:rPr>
                <w:noProof/>
                <w:webHidden/>
              </w:rPr>
              <w:tab/>
            </w:r>
            <w:r>
              <w:rPr>
                <w:noProof/>
                <w:webHidden/>
              </w:rPr>
              <w:fldChar w:fldCharType="begin"/>
            </w:r>
            <w:r>
              <w:rPr>
                <w:noProof/>
                <w:webHidden/>
              </w:rPr>
              <w:instrText xml:space="preserve"> PAGEREF _Toc189212119 \h </w:instrText>
            </w:r>
            <w:r>
              <w:rPr>
                <w:noProof/>
                <w:webHidden/>
              </w:rPr>
            </w:r>
            <w:r>
              <w:rPr>
                <w:noProof/>
                <w:webHidden/>
              </w:rPr>
              <w:fldChar w:fldCharType="separate"/>
            </w:r>
            <w:r>
              <w:rPr>
                <w:noProof/>
                <w:webHidden/>
              </w:rPr>
              <w:t>36</w:t>
            </w:r>
            <w:r>
              <w:rPr>
                <w:noProof/>
                <w:webHidden/>
              </w:rPr>
              <w:fldChar w:fldCharType="end"/>
            </w:r>
          </w:hyperlink>
        </w:p>
        <w:p w14:paraId="5A15D1EF" w14:textId="3CC8AD4D" w:rsidR="00CC6FF6" w:rsidRDefault="00CC6FF6">
          <w:pPr>
            <w:pStyle w:val="TOC3"/>
            <w:tabs>
              <w:tab w:val="right" w:leader="dot" w:pos="8790"/>
            </w:tabs>
            <w:rPr>
              <w:rFonts w:asciiTheme="minorHAnsi" w:eastAsiaTheme="minorEastAsia" w:hAnsiTheme="minorHAnsi" w:cstheme="minorBidi"/>
              <w:noProof/>
              <w:kern w:val="2"/>
              <w:sz w:val="24"/>
              <w:szCs w:val="24"/>
              <w:lang w:val="en-ZA" w:eastAsia="en-ZA"/>
              <w14:ligatures w14:val="standardContextual"/>
            </w:rPr>
          </w:pPr>
          <w:hyperlink w:anchor="_Toc189212120" w:history="1">
            <w:r w:rsidRPr="00145461">
              <w:rPr>
                <w:rStyle w:val="Hyperlink"/>
                <w:noProof/>
                <w:spacing w:val="-2"/>
                <w:w w:val="99"/>
              </w:rPr>
              <w:t>8.2.</w:t>
            </w:r>
            <w:r>
              <w:rPr>
                <w:rFonts w:asciiTheme="minorHAnsi" w:eastAsiaTheme="minorEastAsia" w:hAnsiTheme="minorHAnsi" w:cstheme="minorBidi"/>
                <w:noProof/>
                <w:kern w:val="2"/>
                <w:sz w:val="24"/>
                <w:szCs w:val="24"/>
                <w:lang w:val="en-ZA" w:eastAsia="en-ZA"/>
                <w14:ligatures w14:val="standardContextual"/>
              </w:rPr>
              <w:tab/>
            </w:r>
            <w:r w:rsidRPr="00145461">
              <w:rPr>
                <w:rStyle w:val="Hyperlink"/>
                <w:noProof/>
                <w:lang w:val="en-ZA"/>
              </w:rPr>
              <w:t>SPECIAL ECONOMIC ZONES</w:t>
            </w:r>
            <w:r>
              <w:rPr>
                <w:noProof/>
                <w:webHidden/>
              </w:rPr>
              <w:tab/>
            </w:r>
            <w:r>
              <w:rPr>
                <w:noProof/>
                <w:webHidden/>
              </w:rPr>
              <w:fldChar w:fldCharType="begin"/>
            </w:r>
            <w:r>
              <w:rPr>
                <w:noProof/>
                <w:webHidden/>
              </w:rPr>
              <w:instrText xml:space="preserve"> PAGEREF _Toc189212120 \h </w:instrText>
            </w:r>
            <w:r>
              <w:rPr>
                <w:noProof/>
                <w:webHidden/>
              </w:rPr>
            </w:r>
            <w:r>
              <w:rPr>
                <w:noProof/>
                <w:webHidden/>
              </w:rPr>
              <w:fldChar w:fldCharType="separate"/>
            </w:r>
            <w:r>
              <w:rPr>
                <w:noProof/>
                <w:webHidden/>
              </w:rPr>
              <w:t>37</w:t>
            </w:r>
            <w:r>
              <w:rPr>
                <w:noProof/>
                <w:webHidden/>
              </w:rPr>
              <w:fldChar w:fldCharType="end"/>
            </w:r>
          </w:hyperlink>
        </w:p>
        <w:p w14:paraId="1223932C" w14:textId="0CADE7D8" w:rsidR="00CC6FF6" w:rsidRDefault="00CC6FF6">
          <w:pPr>
            <w:pStyle w:val="TOC3"/>
            <w:tabs>
              <w:tab w:val="right" w:leader="dot" w:pos="8790"/>
            </w:tabs>
            <w:rPr>
              <w:rFonts w:asciiTheme="minorHAnsi" w:eastAsiaTheme="minorEastAsia" w:hAnsiTheme="minorHAnsi" w:cstheme="minorBidi"/>
              <w:noProof/>
              <w:kern w:val="2"/>
              <w:sz w:val="24"/>
              <w:szCs w:val="24"/>
              <w:lang w:val="en-ZA" w:eastAsia="en-ZA"/>
              <w14:ligatures w14:val="standardContextual"/>
            </w:rPr>
          </w:pPr>
          <w:hyperlink w:anchor="_Toc189212121" w:history="1">
            <w:r w:rsidRPr="00145461">
              <w:rPr>
                <w:rStyle w:val="Hyperlink"/>
                <w:noProof/>
                <w:spacing w:val="-2"/>
                <w:w w:val="99"/>
              </w:rPr>
              <w:t>8.3.</w:t>
            </w:r>
            <w:r>
              <w:rPr>
                <w:rFonts w:asciiTheme="minorHAnsi" w:eastAsiaTheme="minorEastAsia" w:hAnsiTheme="minorHAnsi" w:cstheme="minorBidi"/>
                <w:noProof/>
                <w:kern w:val="2"/>
                <w:sz w:val="24"/>
                <w:szCs w:val="24"/>
                <w:lang w:val="en-ZA" w:eastAsia="en-ZA"/>
                <w14:ligatures w14:val="standardContextual"/>
              </w:rPr>
              <w:tab/>
            </w:r>
            <w:r w:rsidRPr="00145461">
              <w:rPr>
                <w:rStyle w:val="Hyperlink"/>
                <w:noProof/>
                <w:lang w:val="en-ZA"/>
              </w:rPr>
              <w:t>INVESTMENT ALLOWANCE IN RESPECT OF BUILDINGS, MACHINERY, PLANT, IMPLEMENTS, UTENSILS AND ARTICLES USED IN DOMESTIC PRODUCTION OF ELECTRIC AND HYDROGEN-POWERED VEHICLES</w:t>
            </w:r>
            <w:r>
              <w:rPr>
                <w:noProof/>
                <w:webHidden/>
              </w:rPr>
              <w:tab/>
            </w:r>
            <w:r>
              <w:rPr>
                <w:noProof/>
                <w:webHidden/>
              </w:rPr>
              <w:fldChar w:fldCharType="begin"/>
            </w:r>
            <w:r>
              <w:rPr>
                <w:noProof/>
                <w:webHidden/>
              </w:rPr>
              <w:instrText xml:space="preserve"> PAGEREF _Toc189212121 \h </w:instrText>
            </w:r>
            <w:r>
              <w:rPr>
                <w:noProof/>
                <w:webHidden/>
              </w:rPr>
            </w:r>
            <w:r>
              <w:rPr>
                <w:noProof/>
                <w:webHidden/>
              </w:rPr>
              <w:fldChar w:fldCharType="separate"/>
            </w:r>
            <w:r>
              <w:rPr>
                <w:noProof/>
                <w:webHidden/>
              </w:rPr>
              <w:t>38</w:t>
            </w:r>
            <w:r>
              <w:rPr>
                <w:noProof/>
                <w:webHidden/>
              </w:rPr>
              <w:fldChar w:fldCharType="end"/>
            </w:r>
          </w:hyperlink>
        </w:p>
        <w:p w14:paraId="79D1AE30" w14:textId="14CFB61F" w:rsidR="00CC6FF6" w:rsidRDefault="00CC6FF6">
          <w:pPr>
            <w:pStyle w:val="TOC3"/>
            <w:tabs>
              <w:tab w:val="right" w:leader="dot" w:pos="8790"/>
            </w:tabs>
            <w:rPr>
              <w:rFonts w:asciiTheme="minorHAnsi" w:eastAsiaTheme="minorEastAsia" w:hAnsiTheme="minorHAnsi" w:cstheme="minorBidi"/>
              <w:noProof/>
              <w:kern w:val="2"/>
              <w:sz w:val="24"/>
              <w:szCs w:val="24"/>
              <w:lang w:val="en-ZA" w:eastAsia="en-ZA"/>
              <w14:ligatures w14:val="standardContextual"/>
            </w:rPr>
          </w:pPr>
          <w:hyperlink w:anchor="_Toc189212122" w:history="1">
            <w:r w:rsidRPr="00145461">
              <w:rPr>
                <w:rStyle w:val="Hyperlink"/>
                <w:noProof/>
                <w:spacing w:val="-2"/>
                <w:w w:val="99"/>
              </w:rPr>
              <w:t>8.4.</w:t>
            </w:r>
            <w:r>
              <w:rPr>
                <w:rFonts w:asciiTheme="minorHAnsi" w:eastAsiaTheme="minorEastAsia" w:hAnsiTheme="minorHAnsi" w:cstheme="minorBidi"/>
                <w:noProof/>
                <w:kern w:val="2"/>
                <w:sz w:val="24"/>
                <w:szCs w:val="24"/>
                <w:lang w:val="en-ZA" w:eastAsia="en-ZA"/>
                <w14:ligatures w14:val="standardContextual"/>
              </w:rPr>
              <w:tab/>
            </w:r>
            <w:r w:rsidRPr="00145461">
              <w:rPr>
                <w:rStyle w:val="Hyperlink"/>
                <w:noProof/>
                <w:lang w:val="en-ZA"/>
              </w:rPr>
              <w:t>Deduction in respect of certain machinery, plant, implements, utensils and articles used in farming or production of renewable energy</w:t>
            </w:r>
            <w:r>
              <w:rPr>
                <w:noProof/>
                <w:webHidden/>
              </w:rPr>
              <w:tab/>
            </w:r>
            <w:r>
              <w:rPr>
                <w:noProof/>
                <w:webHidden/>
              </w:rPr>
              <w:fldChar w:fldCharType="begin"/>
            </w:r>
            <w:r>
              <w:rPr>
                <w:noProof/>
                <w:webHidden/>
              </w:rPr>
              <w:instrText xml:space="preserve"> PAGEREF _Toc189212122 \h </w:instrText>
            </w:r>
            <w:r>
              <w:rPr>
                <w:noProof/>
                <w:webHidden/>
              </w:rPr>
            </w:r>
            <w:r>
              <w:rPr>
                <w:noProof/>
                <w:webHidden/>
              </w:rPr>
              <w:fldChar w:fldCharType="separate"/>
            </w:r>
            <w:r>
              <w:rPr>
                <w:noProof/>
                <w:webHidden/>
              </w:rPr>
              <w:t>41</w:t>
            </w:r>
            <w:r>
              <w:rPr>
                <w:noProof/>
                <w:webHidden/>
              </w:rPr>
              <w:fldChar w:fldCharType="end"/>
            </w:r>
          </w:hyperlink>
        </w:p>
        <w:p w14:paraId="7C1451E8" w14:textId="4A36AD8A" w:rsidR="00CC6FF6" w:rsidRDefault="00CC6FF6">
          <w:pPr>
            <w:pStyle w:val="TOC1"/>
            <w:tabs>
              <w:tab w:val="right" w:leader="dot" w:pos="8790"/>
            </w:tabs>
            <w:rPr>
              <w:rFonts w:asciiTheme="minorHAnsi" w:eastAsiaTheme="minorEastAsia" w:hAnsiTheme="minorHAnsi" w:cstheme="minorBidi"/>
              <w:b w:val="0"/>
              <w:bCs w:val="0"/>
              <w:noProof/>
              <w:kern w:val="2"/>
              <w:sz w:val="24"/>
              <w:szCs w:val="24"/>
              <w:lang w:val="en-ZA" w:eastAsia="en-ZA"/>
              <w14:ligatures w14:val="standardContextual"/>
            </w:rPr>
          </w:pPr>
          <w:hyperlink w:anchor="_Toc189212123" w:history="1">
            <w:r w:rsidRPr="00145461">
              <w:rPr>
                <w:rStyle w:val="Hyperlink"/>
                <w:noProof/>
                <w:spacing w:val="-2"/>
                <w:w w:val="99"/>
              </w:rPr>
              <w:t>9.</w:t>
            </w:r>
            <w:r>
              <w:rPr>
                <w:rFonts w:asciiTheme="minorHAnsi" w:eastAsiaTheme="minorEastAsia" w:hAnsiTheme="minorHAnsi" w:cstheme="minorBidi"/>
                <w:b w:val="0"/>
                <w:bCs w:val="0"/>
                <w:noProof/>
                <w:kern w:val="2"/>
                <w:sz w:val="24"/>
                <w:szCs w:val="24"/>
                <w:lang w:val="en-ZA" w:eastAsia="en-ZA"/>
                <w14:ligatures w14:val="standardContextual"/>
              </w:rPr>
              <w:tab/>
            </w:r>
            <w:r w:rsidRPr="00145461">
              <w:rPr>
                <w:rStyle w:val="Hyperlink"/>
                <w:noProof/>
              </w:rPr>
              <w:t>INTERNATIONAL TAX</w:t>
            </w:r>
            <w:r>
              <w:rPr>
                <w:noProof/>
                <w:webHidden/>
              </w:rPr>
              <w:tab/>
            </w:r>
            <w:r>
              <w:rPr>
                <w:noProof/>
                <w:webHidden/>
              </w:rPr>
              <w:fldChar w:fldCharType="begin"/>
            </w:r>
            <w:r>
              <w:rPr>
                <w:noProof/>
                <w:webHidden/>
              </w:rPr>
              <w:instrText xml:space="preserve"> PAGEREF _Toc189212123 \h </w:instrText>
            </w:r>
            <w:r>
              <w:rPr>
                <w:noProof/>
                <w:webHidden/>
              </w:rPr>
            </w:r>
            <w:r>
              <w:rPr>
                <w:noProof/>
                <w:webHidden/>
              </w:rPr>
              <w:fldChar w:fldCharType="separate"/>
            </w:r>
            <w:r>
              <w:rPr>
                <w:noProof/>
                <w:webHidden/>
              </w:rPr>
              <w:t>42</w:t>
            </w:r>
            <w:r>
              <w:rPr>
                <w:noProof/>
                <w:webHidden/>
              </w:rPr>
              <w:fldChar w:fldCharType="end"/>
            </w:r>
          </w:hyperlink>
        </w:p>
        <w:p w14:paraId="329735D5" w14:textId="56245B80" w:rsidR="00CC6FF6" w:rsidRDefault="00CC6FF6">
          <w:pPr>
            <w:pStyle w:val="TOC3"/>
            <w:tabs>
              <w:tab w:val="right" w:leader="dot" w:pos="8790"/>
            </w:tabs>
            <w:rPr>
              <w:rFonts w:asciiTheme="minorHAnsi" w:eastAsiaTheme="minorEastAsia" w:hAnsiTheme="minorHAnsi" w:cstheme="minorBidi"/>
              <w:noProof/>
              <w:kern w:val="2"/>
              <w:sz w:val="24"/>
              <w:szCs w:val="24"/>
              <w:lang w:val="en-ZA" w:eastAsia="en-ZA"/>
              <w14:ligatures w14:val="standardContextual"/>
            </w:rPr>
          </w:pPr>
          <w:hyperlink w:anchor="_Toc189212124" w:history="1">
            <w:r w:rsidRPr="00145461">
              <w:rPr>
                <w:rStyle w:val="Hyperlink"/>
                <w:noProof/>
                <w:spacing w:val="-2"/>
                <w:w w:val="99"/>
              </w:rPr>
              <w:t>9.1.</w:t>
            </w:r>
            <w:r>
              <w:rPr>
                <w:rFonts w:asciiTheme="minorHAnsi" w:eastAsiaTheme="minorEastAsia" w:hAnsiTheme="minorHAnsi" w:cstheme="minorBidi"/>
                <w:noProof/>
                <w:kern w:val="2"/>
                <w:sz w:val="24"/>
                <w:szCs w:val="24"/>
                <w:lang w:val="en-ZA" w:eastAsia="en-ZA"/>
                <w14:ligatures w14:val="standardContextual"/>
              </w:rPr>
              <w:tab/>
            </w:r>
            <w:r w:rsidRPr="00145461">
              <w:rPr>
                <w:rStyle w:val="Hyperlink"/>
                <w:noProof/>
                <w:lang w:val="en-ZA"/>
              </w:rPr>
              <w:t>Clarifying the translation for hyperinflationary currencies</w:t>
            </w:r>
            <w:r>
              <w:rPr>
                <w:noProof/>
                <w:webHidden/>
              </w:rPr>
              <w:tab/>
            </w:r>
            <w:r>
              <w:rPr>
                <w:noProof/>
                <w:webHidden/>
              </w:rPr>
              <w:fldChar w:fldCharType="begin"/>
            </w:r>
            <w:r>
              <w:rPr>
                <w:noProof/>
                <w:webHidden/>
              </w:rPr>
              <w:instrText xml:space="preserve"> PAGEREF _Toc189212124 \h </w:instrText>
            </w:r>
            <w:r>
              <w:rPr>
                <w:noProof/>
                <w:webHidden/>
              </w:rPr>
            </w:r>
            <w:r>
              <w:rPr>
                <w:noProof/>
                <w:webHidden/>
              </w:rPr>
              <w:fldChar w:fldCharType="separate"/>
            </w:r>
            <w:r>
              <w:rPr>
                <w:noProof/>
                <w:webHidden/>
              </w:rPr>
              <w:t>42</w:t>
            </w:r>
            <w:r>
              <w:rPr>
                <w:noProof/>
                <w:webHidden/>
              </w:rPr>
              <w:fldChar w:fldCharType="end"/>
            </w:r>
          </w:hyperlink>
        </w:p>
        <w:p w14:paraId="6DF8EC4A" w14:textId="7607F4C3" w:rsidR="00CC6FF6" w:rsidRDefault="00CC6FF6">
          <w:pPr>
            <w:pStyle w:val="TOC3"/>
            <w:tabs>
              <w:tab w:val="right" w:leader="dot" w:pos="8790"/>
            </w:tabs>
            <w:rPr>
              <w:rFonts w:asciiTheme="minorHAnsi" w:eastAsiaTheme="minorEastAsia" w:hAnsiTheme="minorHAnsi" w:cstheme="minorBidi"/>
              <w:noProof/>
              <w:kern w:val="2"/>
              <w:sz w:val="24"/>
              <w:szCs w:val="24"/>
              <w:lang w:val="en-ZA" w:eastAsia="en-ZA"/>
              <w14:ligatures w14:val="standardContextual"/>
            </w:rPr>
          </w:pPr>
          <w:hyperlink w:anchor="_Toc189212125" w:history="1">
            <w:r w:rsidRPr="00145461">
              <w:rPr>
                <w:rStyle w:val="Hyperlink"/>
                <w:noProof/>
                <w:spacing w:val="-2"/>
                <w:w w:val="99"/>
              </w:rPr>
              <w:t>9.2.</w:t>
            </w:r>
            <w:r>
              <w:rPr>
                <w:rFonts w:asciiTheme="minorHAnsi" w:eastAsiaTheme="minorEastAsia" w:hAnsiTheme="minorHAnsi" w:cstheme="minorBidi"/>
                <w:noProof/>
                <w:kern w:val="2"/>
                <w:sz w:val="24"/>
                <w:szCs w:val="24"/>
                <w:lang w:val="en-ZA" w:eastAsia="en-ZA"/>
                <w14:ligatures w14:val="standardContextual"/>
              </w:rPr>
              <w:tab/>
            </w:r>
            <w:r w:rsidRPr="00145461">
              <w:rPr>
                <w:rStyle w:val="Hyperlink"/>
                <w:noProof/>
                <w:lang w:val="en-ZA"/>
              </w:rPr>
              <w:t>Clarifying the 18-month period in relation to shareholdings by group entities</w:t>
            </w:r>
            <w:r>
              <w:rPr>
                <w:noProof/>
                <w:webHidden/>
              </w:rPr>
              <w:tab/>
            </w:r>
            <w:r>
              <w:rPr>
                <w:noProof/>
                <w:webHidden/>
              </w:rPr>
              <w:fldChar w:fldCharType="begin"/>
            </w:r>
            <w:r>
              <w:rPr>
                <w:noProof/>
                <w:webHidden/>
              </w:rPr>
              <w:instrText xml:space="preserve"> PAGEREF _Toc189212125 \h </w:instrText>
            </w:r>
            <w:r>
              <w:rPr>
                <w:noProof/>
                <w:webHidden/>
              </w:rPr>
            </w:r>
            <w:r>
              <w:rPr>
                <w:noProof/>
                <w:webHidden/>
              </w:rPr>
              <w:fldChar w:fldCharType="separate"/>
            </w:r>
            <w:r>
              <w:rPr>
                <w:noProof/>
                <w:webHidden/>
              </w:rPr>
              <w:t>43</w:t>
            </w:r>
            <w:r>
              <w:rPr>
                <w:noProof/>
                <w:webHidden/>
              </w:rPr>
              <w:fldChar w:fldCharType="end"/>
            </w:r>
          </w:hyperlink>
        </w:p>
        <w:p w14:paraId="018DD0C4" w14:textId="43877437" w:rsidR="00CC6FF6" w:rsidRDefault="00CC6FF6">
          <w:pPr>
            <w:pStyle w:val="TOC3"/>
            <w:tabs>
              <w:tab w:val="right" w:leader="dot" w:pos="8790"/>
            </w:tabs>
            <w:rPr>
              <w:rFonts w:asciiTheme="minorHAnsi" w:eastAsiaTheme="minorEastAsia" w:hAnsiTheme="minorHAnsi" w:cstheme="minorBidi"/>
              <w:noProof/>
              <w:kern w:val="2"/>
              <w:sz w:val="24"/>
              <w:szCs w:val="24"/>
              <w:lang w:val="en-ZA" w:eastAsia="en-ZA"/>
              <w14:ligatures w14:val="standardContextual"/>
            </w:rPr>
          </w:pPr>
          <w:hyperlink w:anchor="_Toc189212126" w:history="1">
            <w:r w:rsidRPr="00145461">
              <w:rPr>
                <w:rStyle w:val="Hyperlink"/>
                <w:noProof/>
                <w:spacing w:val="-2"/>
                <w:w w:val="99"/>
              </w:rPr>
              <w:t>9.3.</w:t>
            </w:r>
            <w:r>
              <w:rPr>
                <w:rFonts w:asciiTheme="minorHAnsi" w:eastAsiaTheme="minorEastAsia" w:hAnsiTheme="minorHAnsi" w:cstheme="minorBidi"/>
                <w:noProof/>
                <w:kern w:val="2"/>
                <w:sz w:val="24"/>
                <w:szCs w:val="24"/>
                <w:lang w:val="en-ZA" w:eastAsia="en-ZA"/>
                <w14:ligatures w14:val="standardContextual"/>
              </w:rPr>
              <w:tab/>
            </w:r>
            <w:r w:rsidRPr="00145461">
              <w:rPr>
                <w:rStyle w:val="Hyperlink"/>
                <w:noProof/>
                <w:lang w:val="en-ZA"/>
              </w:rPr>
              <w:t>Clarifying the rebate for foreign taxes on income in respect of capital gains</w:t>
            </w:r>
            <w:r>
              <w:rPr>
                <w:noProof/>
                <w:webHidden/>
              </w:rPr>
              <w:tab/>
            </w:r>
            <w:r>
              <w:rPr>
                <w:noProof/>
                <w:webHidden/>
              </w:rPr>
              <w:fldChar w:fldCharType="begin"/>
            </w:r>
            <w:r>
              <w:rPr>
                <w:noProof/>
                <w:webHidden/>
              </w:rPr>
              <w:instrText xml:space="preserve"> PAGEREF _Toc189212126 \h </w:instrText>
            </w:r>
            <w:r>
              <w:rPr>
                <w:noProof/>
                <w:webHidden/>
              </w:rPr>
            </w:r>
            <w:r>
              <w:rPr>
                <w:noProof/>
                <w:webHidden/>
              </w:rPr>
              <w:fldChar w:fldCharType="separate"/>
            </w:r>
            <w:r>
              <w:rPr>
                <w:noProof/>
                <w:webHidden/>
              </w:rPr>
              <w:t>43</w:t>
            </w:r>
            <w:r>
              <w:rPr>
                <w:noProof/>
                <w:webHidden/>
              </w:rPr>
              <w:fldChar w:fldCharType="end"/>
            </w:r>
          </w:hyperlink>
        </w:p>
        <w:p w14:paraId="388EA8AD" w14:textId="1CD2CFF2" w:rsidR="00CC6FF6" w:rsidRDefault="00CC6FF6">
          <w:pPr>
            <w:pStyle w:val="TOC3"/>
            <w:tabs>
              <w:tab w:val="right" w:leader="dot" w:pos="8790"/>
            </w:tabs>
            <w:rPr>
              <w:rFonts w:asciiTheme="minorHAnsi" w:eastAsiaTheme="minorEastAsia" w:hAnsiTheme="minorHAnsi" w:cstheme="minorBidi"/>
              <w:noProof/>
              <w:kern w:val="2"/>
              <w:sz w:val="24"/>
              <w:szCs w:val="24"/>
              <w:lang w:val="en-ZA" w:eastAsia="en-ZA"/>
              <w14:ligatures w14:val="standardContextual"/>
            </w:rPr>
          </w:pPr>
          <w:hyperlink w:anchor="_Toc189212127" w:history="1">
            <w:r w:rsidRPr="00145461">
              <w:rPr>
                <w:rStyle w:val="Hyperlink"/>
                <w:noProof/>
                <w:spacing w:val="-2"/>
                <w:w w:val="99"/>
              </w:rPr>
              <w:t>9.4.</w:t>
            </w:r>
            <w:r>
              <w:rPr>
                <w:rFonts w:asciiTheme="minorHAnsi" w:eastAsiaTheme="minorEastAsia" w:hAnsiTheme="minorHAnsi" w:cstheme="minorBidi"/>
                <w:noProof/>
                <w:kern w:val="2"/>
                <w:sz w:val="24"/>
                <w:szCs w:val="24"/>
                <w:lang w:val="en-ZA" w:eastAsia="en-ZA"/>
                <w14:ligatures w14:val="standardContextual"/>
              </w:rPr>
              <w:tab/>
            </w:r>
            <w:r w:rsidRPr="00145461">
              <w:rPr>
                <w:rStyle w:val="Hyperlink"/>
                <w:noProof/>
                <w:lang w:val="en-ZA"/>
              </w:rPr>
              <w:t>Aligning the section 6quat rebate and translation of net income rule for CFCs</w:t>
            </w:r>
            <w:r>
              <w:rPr>
                <w:noProof/>
                <w:webHidden/>
              </w:rPr>
              <w:tab/>
            </w:r>
            <w:r>
              <w:rPr>
                <w:noProof/>
                <w:webHidden/>
              </w:rPr>
              <w:fldChar w:fldCharType="begin"/>
            </w:r>
            <w:r>
              <w:rPr>
                <w:noProof/>
                <w:webHidden/>
              </w:rPr>
              <w:instrText xml:space="preserve"> PAGEREF _Toc189212127 \h </w:instrText>
            </w:r>
            <w:r>
              <w:rPr>
                <w:noProof/>
                <w:webHidden/>
              </w:rPr>
            </w:r>
            <w:r>
              <w:rPr>
                <w:noProof/>
                <w:webHidden/>
              </w:rPr>
              <w:fldChar w:fldCharType="separate"/>
            </w:r>
            <w:r>
              <w:rPr>
                <w:noProof/>
                <w:webHidden/>
              </w:rPr>
              <w:t>44</w:t>
            </w:r>
            <w:r>
              <w:rPr>
                <w:noProof/>
                <w:webHidden/>
              </w:rPr>
              <w:fldChar w:fldCharType="end"/>
            </w:r>
          </w:hyperlink>
        </w:p>
        <w:p w14:paraId="53E9B489" w14:textId="19099A48" w:rsidR="00CC6FF6" w:rsidRDefault="00CC6FF6">
          <w:pPr>
            <w:pStyle w:val="TOC3"/>
            <w:tabs>
              <w:tab w:val="right" w:leader="dot" w:pos="8790"/>
            </w:tabs>
            <w:rPr>
              <w:rFonts w:asciiTheme="minorHAnsi" w:eastAsiaTheme="minorEastAsia" w:hAnsiTheme="minorHAnsi" w:cstheme="minorBidi"/>
              <w:noProof/>
              <w:kern w:val="2"/>
              <w:sz w:val="24"/>
              <w:szCs w:val="24"/>
              <w:lang w:val="en-ZA" w:eastAsia="en-ZA"/>
              <w14:ligatures w14:val="standardContextual"/>
            </w:rPr>
          </w:pPr>
          <w:hyperlink w:anchor="_Toc189212128" w:history="1">
            <w:r w:rsidRPr="00145461">
              <w:rPr>
                <w:rStyle w:val="Hyperlink"/>
                <w:noProof/>
                <w:spacing w:val="-2"/>
                <w:w w:val="99"/>
              </w:rPr>
              <w:t>9.5.</w:t>
            </w:r>
            <w:r>
              <w:rPr>
                <w:rFonts w:asciiTheme="minorHAnsi" w:eastAsiaTheme="minorEastAsia" w:hAnsiTheme="minorHAnsi" w:cstheme="minorBidi"/>
                <w:noProof/>
                <w:kern w:val="2"/>
                <w:sz w:val="24"/>
                <w:szCs w:val="24"/>
                <w:lang w:val="en-ZA" w:eastAsia="en-ZA"/>
                <w14:ligatures w14:val="standardContextual"/>
              </w:rPr>
              <w:tab/>
            </w:r>
            <w:r w:rsidRPr="00145461">
              <w:rPr>
                <w:rStyle w:val="Hyperlink"/>
                <w:noProof/>
                <w:lang w:val="en-ZA"/>
              </w:rPr>
              <w:t>Refining the definition of “exchange item” for determining exchange differences</w:t>
            </w:r>
            <w:r>
              <w:rPr>
                <w:noProof/>
                <w:webHidden/>
              </w:rPr>
              <w:tab/>
            </w:r>
            <w:r>
              <w:rPr>
                <w:noProof/>
                <w:webHidden/>
              </w:rPr>
              <w:fldChar w:fldCharType="begin"/>
            </w:r>
            <w:r>
              <w:rPr>
                <w:noProof/>
                <w:webHidden/>
              </w:rPr>
              <w:instrText xml:space="preserve"> PAGEREF _Toc189212128 \h </w:instrText>
            </w:r>
            <w:r>
              <w:rPr>
                <w:noProof/>
                <w:webHidden/>
              </w:rPr>
            </w:r>
            <w:r>
              <w:rPr>
                <w:noProof/>
                <w:webHidden/>
              </w:rPr>
              <w:fldChar w:fldCharType="separate"/>
            </w:r>
            <w:r>
              <w:rPr>
                <w:noProof/>
                <w:webHidden/>
              </w:rPr>
              <w:t>44</w:t>
            </w:r>
            <w:r>
              <w:rPr>
                <w:noProof/>
                <w:webHidden/>
              </w:rPr>
              <w:fldChar w:fldCharType="end"/>
            </w:r>
          </w:hyperlink>
        </w:p>
        <w:p w14:paraId="47BFE035" w14:textId="387F0042" w:rsidR="00CC6FF6" w:rsidRDefault="00CC6FF6">
          <w:pPr>
            <w:pStyle w:val="TOC3"/>
            <w:tabs>
              <w:tab w:val="right" w:leader="dot" w:pos="8790"/>
            </w:tabs>
            <w:rPr>
              <w:rFonts w:asciiTheme="minorHAnsi" w:eastAsiaTheme="minorEastAsia" w:hAnsiTheme="minorHAnsi" w:cstheme="minorBidi"/>
              <w:noProof/>
              <w:kern w:val="2"/>
              <w:sz w:val="24"/>
              <w:szCs w:val="24"/>
              <w:lang w:val="en-ZA" w:eastAsia="en-ZA"/>
              <w14:ligatures w14:val="standardContextual"/>
            </w:rPr>
          </w:pPr>
          <w:hyperlink w:anchor="_Toc189212129" w:history="1">
            <w:r w:rsidRPr="00145461">
              <w:rPr>
                <w:rStyle w:val="Hyperlink"/>
                <w:noProof/>
                <w:spacing w:val="-2"/>
                <w:w w:val="99"/>
              </w:rPr>
              <w:t>9.6.</w:t>
            </w:r>
            <w:r>
              <w:rPr>
                <w:rFonts w:asciiTheme="minorHAnsi" w:eastAsiaTheme="minorEastAsia" w:hAnsiTheme="minorHAnsi" w:cstheme="minorBidi"/>
                <w:noProof/>
                <w:kern w:val="2"/>
                <w:sz w:val="24"/>
                <w:szCs w:val="24"/>
                <w:lang w:val="en-ZA" w:eastAsia="en-ZA"/>
                <w14:ligatures w14:val="standardContextual"/>
              </w:rPr>
              <w:tab/>
            </w:r>
            <w:r w:rsidRPr="00145461">
              <w:rPr>
                <w:rStyle w:val="Hyperlink"/>
                <w:noProof/>
                <w:lang w:val="en-ZA"/>
              </w:rPr>
              <w:t>Reviewing the interaction of the set-off of assessed loss rules and rules on exchange differences on foreign exchange transaction</w:t>
            </w:r>
            <w:r>
              <w:rPr>
                <w:noProof/>
                <w:webHidden/>
              </w:rPr>
              <w:tab/>
            </w:r>
            <w:r>
              <w:rPr>
                <w:noProof/>
                <w:webHidden/>
              </w:rPr>
              <w:fldChar w:fldCharType="begin"/>
            </w:r>
            <w:r>
              <w:rPr>
                <w:noProof/>
                <w:webHidden/>
              </w:rPr>
              <w:instrText xml:space="preserve"> PAGEREF _Toc189212129 \h </w:instrText>
            </w:r>
            <w:r>
              <w:rPr>
                <w:noProof/>
                <w:webHidden/>
              </w:rPr>
            </w:r>
            <w:r>
              <w:rPr>
                <w:noProof/>
                <w:webHidden/>
              </w:rPr>
              <w:fldChar w:fldCharType="separate"/>
            </w:r>
            <w:r>
              <w:rPr>
                <w:noProof/>
                <w:webHidden/>
              </w:rPr>
              <w:t>45</w:t>
            </w:r>
            <w:r>
              <w:rPr>
                <w:noProof/>
                <w:webHidden/>
              </w:rPr>
              <w:fldChar w:fldCharType="end"/>
            </w:r>
          </w:hyperlink>
        </w:p>
        <w:p w14:paraId="2709356F" w14:textId="6B1DC5F0" w:rsidR="00CC6FF6" w:rsidRDefault="00CC6FF6">
          <w:pPr>
            <w:pStyle w:val="TOC1"/>
            <w:tabs>
              <w:tab w:val="right" w:leader="dot" w:pos="8790"/>
            </w:tabs>
            <w:rPr>
              <w:rFonts w:asciiTheme="minorHAnsi" w:eastAsiaTheme="minorEastAsia" w:hAnsiTheme="minorHAnsi" w:cstheme="minorBidi"/>
              <w:b w:val="0"/>
              <w:bCs w:val="0"/>
              <w:noProof/>
              <w:kern w:val="2"/>
              <w:sz w:val="24"/>
              <w:szCs w:val="24"/>
              <w:lang w:val="en-ZA" w:eastAsia="en-ZA"/>
              <w14:ligatures w14:val="standardContextual"/>
            </w:rPr>
          </w:pPr>
          <w:hyperlink w:anchor="_Toc189212130" w:history="1">
            <w:r w:rsidRPr="00145461">
              <w:rPr>
                <w:rStyle w:val="Hyperlink"/>
                <w:noProof/>
                <w:spacing w:val="-2"/>
                <w:w w:val="99"/>
              </w:rPr>
              <w:t>10.</w:t>
            </w:r>
            <w:r>
              <w:rPr>
                <w:rFonts w:asciiTheme="minorHAnsi" w:eastAsiaTheme="minorEastAsia" w:hAnsiTheme="minorHAnsi" w:cstheme="minorBidi"/>
                <w:b w:val="0"/>
                <w:bCs w:val="0"/>
                <w:noProof/>
                <w:kern w:val="2"/>
                <w:sz w:val="24"/>
                <w:szCs w:val="24"/>
                <w:lang w:val="en-ZA" w:eastAsia="en-ZA"/>
                <w14:ligatures w14:val="standardContextual"/>
              </w:rPr>
              <w:tab/>
            </w:r>
            <w:r w:rsidRPr="00145461">
              <w:rPr>
                <w:rStyle w:val="Hyperlink"/>
                <w:noProof/>
              </w:rPr>
              <w:t>VALUE-ADDED TAX</w:t>
            </w:r>
            <w:r>
              <w:rPr>
                <w:noProof/>
                <w:webHidden/>
              </w:rPr>
              <w:tab/>
            </w:r>
            <w:r>
              <w:rPr>
                <w:noProof/>
                <w:webHidden/>
              </w:rPr>
              <w:fldChar w:fldCharType="begin"/>
            </w:r>
            <w:r>
              <w:rPr>
                <w:noProof/>
                <w:webHidden/>
              </w:rPr>
              <w:instrText xml:space="preserve"> PAGEREF _Toc189212130 \h </w:instrText>
            </w:r>
            <w:r>
              <w:rPr>
                <w:noProof/>
                <w:webHidden/>
              </w:rPr>
            </w:r>
            <w:r>
              <w:rPr>
                <w:noProof/>
                <w:webHidden/>
              </w:rPr>
              <w:fldChar w:fldCharType="separate"/>
            </w:r>
            <w:r>
              <w:rPr>
                <w:noProof/>
                <w:webHidden/>
              </w:rPr>
              <w:t>46</w:t>
            </w:r>
            <w:r>
              <w:rPr>
                <w:noProof/>
                <w:webHidden/>
              </w:rPr>
              <w:fldChar w:fldCharType="end"/>
            </w:r>
          </w:hyperlink>
        </w:p>
        <w:p w14:paraId="2753B78C" w14:textId="41D0C273" w:rsidR="00CC6FF6" w:rsidRDefault="00CC6FF6">
          <w:pPr>
            <w:pStyle w:val="TOC3"/>
            <w:tabs>
              <w:tab w:val="left" w:pos="905"/>
              <w:tab w:val="right" w:leader="dot" w:pos="8790"/>
            </w:tabs>
            <w:rPr>
              <w:rFonts w:asciiTheme="minorHAnsi" w:eastAsiaTheme="minorEastAsia" w:hAnsiTheme="minorHAnsi" w:cstheme="minorBidi"/>
              <w:noProof/>
              <w:kern w:val="2"/>
              <w:sz w:val="24"/>
              <w:szCs w:val="24"/>
              <w:lang w:val="en-ZA" w:eastAsia="en-ZA"/>
              <w14:ligatures w14:val="standardContextual"/>
            </w:rPr>
          </w:pPr>
          <w:hyperlink w:anchor="_Toc189212131" w:history="1">
            <w:r w:rsidRPr="00145461">
              <w:rPr>
                <w:rStyle w:val="Hyperlink"/>
                <w:noProof/>
                <w:spacing w:val="-2"/>
                <w:w w:val="99"/>
              </w:rPr>
              <w:t>10.1.</w:t>
            </w:r>
            <w:r>
              <w:rPr>
                <w:rFonts w:asciiTheme="minorHAnsi" w:eastAsiaTheme="minorEastAsia" w:hAnsiTheme="minorHAnsi" w:cstheme="minorBidi"/>
                <w:noProof/>
                <w:kern w:val="2"/>
                <w:sz w:val="24"/>
                <w:szCs w:val="24"/>
                <w:lang w:val="en-ZA" w:eastAsia="en-ZA"/>
                <w14:ligatures w14:val="standardContextual"/>
              </w:rPr>
              <w:tab/>
            </w:r>
            <w:r w:rsidRPr="00145461">
              <w:rPr>
                <w:rStyle w:val="Hyperlink"/>
                <w:noProof/>
                <w:lang w:val="en-ZA"/>
              </w:rPr>
              <w:t>Reviewing the Foreign Donor Funded Project (FDFP) regime</w:t>
            </w:r>
            <w:r>
              <w:rPr>
                <w:noProof/>
                <w:webHidden/>
              </w:rPr>
              <w:tab/>
            </w:r>
            <w:r>
              <w:rPr>
                <w:noProof/>
                <w:webHidden/>
              </w:rPr>
              <w:fldChar w:fldCharType="begin"/>
            </w:r>
            <w:r>
              <w:rPr>
                <w:noProof/>
                <w:webHidden/>
              </w:rPr>
              <w:instrText xml:space="preserve"> PAGEREF _Toc189212131 \h </w:instrText>
            </w:r>
            <w:r>
              <w:rPr>
                <w:noProof/>
                <w:webHidden/>
              </w:rPr>
            </w:r>
            <w:r>
              <w:rPr>
                <w:noProof/>
                <w:webHidden/>
              </w:rPr>
              <w:fldChar w:fldCharType="separate"/>
            </w:r>
            <w:r>
              <w:rPr>
                <w:noProof/>
                <w:webHidden/>
              </w:rPr>
              <w:t>46</w:t>
            </w:r>
            <w:r>
              <w:rPr>
                <w:noProof/>
                <w:webHidden/>
              </w:rPr>
              <w:fldChar w:fldCharType="end"/>
            </w:r>
          </w:hyperlink>
        </w:p>
        <w:p w14:paraId="51B52FA1" w14:textId="6F2B005B" w:rsidR="00CC6FF6" w:rsidRDefault="00CC6FF6">
          <w:pPr>
            <w:pStyle w:val="TOC3"/>
            <w:tabs>
              <w:tab w:val="left" w:pos="905"/>
              <w:tab w:val="right" w:leader="dot" w:pos="8790"/>
            </w:tabs>
            <w:rPr>
              <w:rFonts w:asciiTheme="minorHAnsi" w:eastAsiaTheme="minorEastAsia" w:hAnsiTheme="minorHAnsi" w:cstheme="minorBidi"/>
              <w:noProof/>
              <w:kern w:val="2"/>
              <w:sz w:val="24"/>
              <w:szCs w:val="24"/>
              <w:lang w:val="en-ZA" w:eastAsia="en-ZA"/>
              <w14:ligatures w14:val="standardContextual"/>
            </w:rPr>
          </w:pPr>
          <w:hyperlink w:anchor="_Toc189212132" w:history="1">
            <w:r w:rsidRPr="00145461">
              <w:rPr>
                <w:rStyle w:val="Hyperlink"/>
                <w:noProof/>
                <w:spacing w:val="-2"/>
                <w:w w:val="99"/>
              </w:rPr>
              <w:t>10.2.</w:t>
            </w:r>
            <w:r>
              <w:rPr>
                <w:rFonts w:asciiTheme="minorHAnsi" w:eastAsiaTheme="minorEastAsia" w:hAnsiTheme="minorHAnsi" w:cstheme="minorBidi"/>
                <w:noProof/>
                <w:kern w:val="2"/>
                <w:sz w:val="24"/>
                <w:szCs w:val="24"/>
                <w:lang w:val="en-ZA" w:eastAsia="en-ZA"/>
                <w14:ligatures w14:val="standardContextual"/>
              </w:rPr>
              <w:tab/>
            </w:r>
            <w:r w:rsidRPr="00145461">
              <w:rPr>
                <w:rStyle w:val="Hyperlink"/>
                <w:noProof/>
                <w:lang w:val="en-ZA"/>
              </w:rPr>
              <w:t>Supplies by educational institutions to third parties</w:t>
            </w:r>
            <w:r>
              <w:rPr>
                <w:noProof/>
                <w:webHidden/>
              </w:rPr>
              <w:tab/>
            </w:r>
            <w:r>
              <w:rPr>
                <w:noProof/>
                <w:webHidden/>
              </w:rPr>
              <w:fldChar w:fldCharType="begin"/>
            </w:r>
            <w:r>
              <w:rPr>
                <w:noProof/>
                <w:webHidden/>
              </w:rPr>
              <w:instrText xml:space="preserve"> PAGEREF _Toc189212132 \h </w:instrText>
            </w:r>
            <w:r>
              <w:rPr>
                <w:noProof/>
                <w:webHidden/>
              </w:rPr>
            </w:r>
            <w:r>
              <w:rPr>
                <w:noProof/>
                <w:webHidden/>
              </w:rPr>
              <w:fldChar w:fldCharType="separate"/>
            </w:r>
            <w:r>
              <w:rPr>
                <w:noProof/>
                <w:webHidden/>
              </w:rPr>
              <w:t>47</w:t>
            </w:r>
            <w:r>
              <w:rPr>
                <w:noProof/>
                <w:webHidden/>
              </w:rPr>
              <w:fldChar w:fldCharType="end"/>
            </w:r>
          </w:hyperlink>
        </w:p>
        <w:p w14:paraId="2EF10F0D" w14:textId="2A5C4D91" w:rsidR="00CC6FF6" w:rsidRDefault="00CC6FF6">
          <w:pPr>
            <w:pStyle w:val="TOC3"/>
            <w:tabs>
              <w:tab w:val="left" w:pos="905"/>
              <w:tab w:val="right" w:leader="dot" w:pos="8790"/>
            </w:tabs>
            <w:rPr>
              <w:rFonts w:asciiTheme="minorHAnsi" w:eastAsiaTheme="minorEastAsia" w:hAnsiTheme="minorHAnsi" w:cstheme="minorBidi"/>
              <w:noProof/>
              <w:kern w:val="2"/>
              <w:sz w:val="24"/>
              <w:szCs w:val="24"/>
              <w:lang w:val="en-ZA" w:eastAsia="en-ZA"/>
              <w14:ligatures w14:val="standardContextual"/>
            </w:rPr>
          </w:pPr>
          <w:hyperlink w:anchor="_Toc189212133" w:history="1">
            <w:r w:rsidRPr="00145461">
              <w:rPr>
                <w:rStyle w:val="Hyperlink"/>
                <w:noProof/>
                <w:spacing w:val="-2"/>
                <w:w w:val="99"/>
              </w:rPr>
              <w:t>10.3.</w:t>
            </w:r>
            <w:r>
              <w:rPr>
                <w:rFonts w:asciiTheme="minorHAnsi" w:eastAsiaTheme="minorEastAsia" w:hAnsiTheme="minorHAnsi" w:cstheme="minorBidi"/>
                <w:noProof/>
                <w:kern w:val="2"/>
                <w:sz w:val="24"/>
                <w:szCs w:val="24"/>
                <w:lang w:val="en-ZA" w:eastAsia="en-ZA"/>
                <w14:ligatures w14:val="standardContextual"/>
              </w:rPr>
              <w:tab/>
            </w:r>
            <w:r w:rsidRPr="00145461">
              <w:rPr>
                <w:rStyle w:val="Hyperlink"/>
                <w:noProof/>
                <w:lang w:val="en-ZA"/>
              </w:rPr>
              <w:t>Prescription period for input tax claims</w:t>
            </w:r>
            <w:r>
              <w:rPr>
                <w:noProof/>
                <w:webHidden/>
              </w:rPr>
              <w:tab/>
            </w:r>
            <w:r>
              <w:rPr>
                <w:noProof/>
                <w:webHidden/>
              </w:rPr>
              <w:fldChar w:fldCharType="begin"/>
            </w:r>
            <w:r>
              <w:rPr>
                <w:noProof/>
                <w:webHidden/>
              </w:rPr>
              <w:instrText xml:space="preserve"> PAGEREF _Toc189212133 \h </w:instrText>
            </w:r>
            <w:r>
              <w:rPr>
                <w:noProof/>
                <w:webHidden/>
              </w:rPr>
            </w:r>
            <w:r>
              <w:rPr>
                <w:noProof/>
                <w:webHidden/>
              </w:rPr>
              <w:fldChar w:fldCharType="separate"/>
            </w:r>
            <w:r>
              <w:rPr>
                <w:noProof/>
                <w:webHidden/>
              </w:rPr>
              <w:t>48</w:t>
            </w:r>
            <w:r>
              <w:rPr>
                <w:noProof/>
                <w:webHidden/>
              </w:rPr>
              <w:fldChar w:fldCharType="end"/>
            </w:r>
          </w:hyperlink>
        </w:p>
        <w:p w14:paraId="70DB3E36" w14:textId="0D5A2B91" w:rsidR="00CC6FF6" w:rsidRDefault="00CC6FF6">
          <w:pPr>
            <w:pStyle w:val="TOC1"/>
            <w:tabs>
              <w:tab w:val="right" w:leader="dot" w:pos="8790"/>
            </w:tabs>
            <w:rPr>
              <w:rFonts w:asciiTheme="minorHAnsi" w:eastAsiaTheme="minorEastAsia" w:hAnsiTheme="minorHAnsi" w:cstheme="minorBidi"/>
              <w:b w:val="0"/>
              <w:bCs w:val="0"/>
              <w:noProof/>
              <w:kern w:val="2"/>
              <w:sz w:val="24"/>
              <w:szCs w:val="24"/>
              <w:lang w:val="en-ZA" w:eastAsia="en-ZA"/>
              <w14:ligatures w14:val="standardContextual"/>
            </w:rPr>
          </w:pPr>
          <w:hyperlink w:anchor="_Toc189212134" w:history="1">
            <w:r w:rsidRPr="00145461">
              <w:rPr>
                <w:rStyle w:val="Hyperlink"/>
                <w:noProof/>
                <w:spacing w:val="-2"/>
                <w:w w:val="99"/>
              </w:rPr>
              <w:t>11.</w:t>
            </w:r>
            <w:r>
              <w:rPr>
                <w:rFonts w:asciiTheme="minorHAnsi" w:eastAsiaTheme="minorEastAsia" w:hAnsiTheme="minorHAnsi" w:cstheme="minorBidi"/>
                <w:b w:val="0"/>
                <w:bCs w:val="0"/>
                <w:noProof/>
                <w:kern w:val="2"/>
                <w:sz w:val="24"/>
                <w:szCs w:val="24"/>
                <w:lang w:val="en-ZA" w:eastAsia="en-ZA"/>
                <w14:ligatures w14:val="standardContextual"/>
              </w:rPr>
              <w:tab/>
            </w:r>
            <w:r w:rsidRPr="00145461">
              <w:rPr>
                <w:rStyle w:val="Hyperlink"/>
                <w:noProof/>
              </w:rPr>
              <w:t>GLOBAL MINIMUM TAX BILL</w:t>
            </w:r>
            <w:r>
              <w:rPr>
                <w:noProof/>
                <w:webHidden/>
              </w:rPr>
              <w:tab/>
            </w:r>
            <w:r>
              <w:rPr>
                <w:noProof/>
                <w:webHidden/>
              </w:rPr>
              <w:fldChar w:fldCharType="begin"/>
            </w:r>
            <w:r>
              <w:rPr>
                <w:noProof/>
                <w:webHidden/>
              </w:rPr>
              <w:instrText xml:space="preserve"> PAGEREF _Toc189212134 \h </w:instrText>
            </w:r>
            <w:r>
              <w:rPr>
                <w:noProof/>
                <w:webHidden/>
              </w:rPr>
            </w:r>
            <w:r>
              <w:rPr>
                <w:noProof/>
                <w:webHidden/>
              </w:rPr>
              <w:fldChar w:fldCharType="separate"/>
            </w:r>
            <w:r>
              <w:rPr>
                <w:noProof/>
                <w:webHidden/>
              </w:rPr>
              <w:t>49</w:t>
            </w:r>
            <w:r>
              <w:rPr>
                <w:noProof/>
                <w:webHidden/>
              </w:rPr>
              <w:fldChar w:fldCharType="end"/>
            </w:r>
          </w:hyperlink>
        </w:p>
        <w:p w14:paraId="25EE8B50" w14:textId="7CFF5EA7" w:rsidR="00CC6FF6" w:rsidRDefault="00CC6FF6">
          <w:pPr>
            <w:pStyle w:val="TOC3"/>
            <w:tabs>
              <w:tab w:val="left" w:pos="905"/>
              <w:tab w:val="right" w:leader="dot" w:pos="8790"/>
            </w:tabs>
            <w:rPr>
              <w:rFonts w:asciiTheme="minorHAnsi" w:eastAsiaTheme="minorEastAsia" w:hAnsiTheme="minorHAnsi" w:cstheme="minorBidi"/>
              <w:noProof/>
              <w:kern w:val="2"/>
              <w:sz w:val="24"/>
              <w:szCs w:val="24"/>
              <w:lang w:val="en-ZA" w:eastAsia="en-ZA"/>
              <w14:ligatures w14:val="standardContextual"/>
            </w:rPr>
          </w:pPr>
          <w:hyperlink w:anchor="_Toc189212135" w:history="1">
            <w:r w:rsidRPr="00145461">
              <w:rPr>
                <w:rStyle w:val="Hyperlink"/>
                <w:noProof/>
                <w:spacing w:val="-2"/>
                <w:w w:val="99"/>
              </w:rPr>
              <w:t>11.1.</w:t>
            </w:r>
            <w:r>
              <w:rPr>
                <w:rFonts w:asciiTheme="minorHAnsi" w:eastAsiaTheme="minorEastAsia" w:hAnsiTheme="minorHAnsi" w:cstheme="minorBidi"/>
                <w:noProof/>
                <w:kern w:val="2"/>
                <w:sz w:val="24"/>
                <w:szCs w:val="24"/>
                <w:lang w:val="en-ZA" w:eastAsia="en-ZA"/>
                <w14:ligatures w14:val="standardContextual"/>
              </w:rPr>
              <w:tab/>
            </w:r>
            <w:r w:rsidRPr="00145461">
              <w:rPr>
                <w:rStyle w:val="Hyperlink"/>
                <w:noProof/>
                <w:lang w:val="en-ZA"/>
              </w:rPr>
              <w:t>Global Minimum Tax (GMT)</w:t>
            </w:r>
            <w:r>
              <w:rPr>
                <w:noProof/>
                <w:webHidden/>
              </w:rPr>
              <w:tab/>
            </w:r>
            <w:r>
              <w:rPr>
                <w:noProof/>
                <w:webHidden/>
              </w:rPr>
              <w:fldChar w:fldCharType="begin"/>
            </w:r>
            <w:r>
              <w:rPr>
                <w:noProof/>
                <w:webHidden/>
              </w:rPr>
              <w:instrText xml:space="preserve"> PAGEREF _Toc189212135 \h </w:instrText>
            </w:r>
            <w:r>
              <w:rPr>
                <w:noProof/>
                <w:webHidden/>
              </w:rPr>
            </w:r>
            <w:r>
              <w:rPr>
                <w:noProof/>
                <w:webHidden/>
              </w:rPr>
              <w:fldChar w:fldCharType="separate"/>
            </w:r>
            <w:r>
              <w:rPr>
                <w:noProof/>
                <w:webHidden/>
              </w:rPr>
              <w:t>49</w:t>
            </w:r>
            <w:r>
              <w:rPr>
                <w:noProof/>
                <w:webHidden/>
              </w:rPr>
              <w:fldChar w:fldCharType="end"/>
            </w:r>
          </w:hyperlink>
        </w:p>
        <w:p w14:paraId="4B6352E7" w14:textId="7FEAC584" w:rsidR="00CC6FF6" w:rsidRDefault="00CC6FF6">
          <w:pPr>
            <w:pStyle w:val="TOC1"/>
            <w:tabs>
              <w:tab w:val="right" w:leader="dot" w:pos="8790"/>
            </w:tabs>
            <w:rPr>
              <w:rFonts w:asciiTheme="minorHAnsi" w:eastAsiaTheme="minorEastAsia" w:hAnsiTheme="minorHAnsi" w:cstheme="minorBidi"/>
              <w:b w:val="0"/>
              <w:bCs w:val="0"/>
              <w:noProof/>
              <w:kern w:val="2"/>
              <w:sz w:val="24"/>
              <w:szCs w:val="24"/>
              <w:lang w:val="en-ZA" w:eastAsia="en-ZA"/>
              <w14:ligatures w14:val="standardContextual"/>
            </w:rPr>
          </w:pPr>
          <w:hyperlink w:anchor="_Toc189212136" w:history="1">
            <w:r w:rsidRPr="00145461">
              <w:rPr>
                <w:rStyle w:val="Hyperlink"/>
                <w:noProof/>
                <w:spacing w:val="-2"/>
                <w:w w:val="99"/>
              </w:rPr>
              <w:t>12.</w:t>
            </w:r>
            <w:r>
              <w:rPr>
                <w:rFonts w:asciiTheme="minorHAnsi" w:eastAsiaTheme="minorEastAsia" w:hAnsiTheme="minorHAnsi" w:cstheme="minorBidi"/>
                <w:b w:val="0"/>
                <w:bCs w:val="0"/>
                <w:noProof/>
                <w:kern w:val="2"/>
                <w:sz w:val="24"/>
                <w:szCs w:val="24"/>
                <w:lang w:val="en-ZA" w:eastAsia="en-ZA"/>
                <w14:ligatures w14:val="standardContextual"/>
              </w:rPr>
              <w:tab/>
            </w:r>
            <w:r w:rsidRPr="00145461">
              <w:rPr>
                <w:rStyle w:val="Hyperlink"/>
                <w:noProof/>
              </w:rPr>
              <w:t>DRAFT GLOBAL MINIMUM TAX ADMINISTRATION BILL</w:t>
            </w:r>
            <w:r>
              <w:rPr>
                <w:noProof/>
                <w:webHidden/>
              </w:rPr>
              <w:tab/>
            </w:r>
            <w:r>
              <w:rPr>
                <w:noProof/>
                <w:webHidden/>
              </w:rPr>
              <w:fldChar w:fldCharType="begin"/>
            </w:r>
            <w:r>
              <w:rPr>
                <w:noProof/>
                <w:webHidden/>
              </w:rPr>
              <w:instrText xml:space="preserve"> PAGEREF _Toc189212136 \h </w:instrText>
            </w:r>
            <w:r>
              <w:rPr>
                <w:noProof/>
                <w:webHidden/>
              </w:rPr>
            </w:r>
            <w:r>
              <w:rPr>
                <w:noProof/>
                <w:webHidden/>
              </w:rPr>
              <w:fldChar w:fldCharType="separate"/>
            </w:r>
            <w:r>
              <w:rPr>
                <w:noProof/>
                <w:webHidden/>
              </w:rPr>
              <w:t>54</w:t>
            </w:r>
            <w:r>
              <w:rPr>
                <w:noProof/>
                <w:webHidden/>
              </w:rPr>
              <w:fldChar w:fldCharType="end"/>
            </w:r>
          </w:hyperlink>
        </w:p>
        <w:p w14:paraId="3C7055C3" w14:textId="5E7A7798" w:rsidR="00CC6FF6" w:rsidRDefault="00CC6FF6">
          <w:pPr>
            <w:pStyle w:val="TOC3"/>
            <w:tabs>
              <w:tab w:val="left" w:pos="905"/>
              <w:tab w:val="right" w:leader="dot" w:pos="8790"/>
            </w:tabs>
            <w:rPr>
              <w:rFonts w:asciiTheme="minorHAnsi" w:eastAsiaTheme="minorEastAsia" w:hAnsiTheme="minorHAnsi" w:cstheme="minorBidi"/>
              <w:noProof/>
              <w:kern w:val="2"/>
              <w:sz w:val="24"/>
              <w:szCs w:val="24"/>
              <w:lang w:val="en-ZA" w:eastAsia="en-ZA"/>
              <w14:ligatures w14:val="standardContextual"/>
            </w:rPr>
          </w:pPr>
          <w:hyperlink w:anchor="_Toc189212137" w:history="1">
            <w:r w:rsidRPr="00145461">
              <w:rPr>
                <w:rStyle w:val="Hyperlink"/>
                <w:noProof/>
                <w:spacing w:val="-2"/>
                <w:w w:val="99"/>
              </w:rPr>
              <w:t>12.1.</w:t>
            </w:r>
            <w:r>
              <w:rPr>
                <w:rFonts w:asciiTheme="minorHAnsi" w:eastAsiaTheme="minorEastAsia" w:hAnsiTheme="minorHAnsi" w:cstheme="minorBidi"/>
                <w:noProof/>
                <w:kern w:val="2"/>
                <w:sz w:val="24"/>
                <w:szCs w:val="24"/>
                <w:lang w:val="en-ZA" w:eastAsia="en-ZA"/>
                <w14:ligatures w14:val="standardContextual"/>
              </w:rPr>
              <w:tab/>
            </w:r>
            <w:r w:rsidRPr="00145461">
              <w:rPr>
                <w:rStyle w:val="Hyperlink"/>
                <w:noProof/>
                <w:lang w:val="en-ZA"/>
              </w:rPr>
              <w:t>Definition of “GloBE Information Return”</w:t>
            </w:r>
            <w:r>
              <w:rPr>
                <w:noProof/>
                <w:webHidden/>
              </w:rPr>
              <w:tab/>
            </w:r>
            <w:r>
              <w:rPr>
                <w:noProof/>
                <w:webHidden/>
              </w:rPr>
              <w:fldChar w:fldCharType="begin"/>
            </w:r>
            <w:r>
              <w:rPr>
                <w:noProof/>
                <w:webHidden/>
              </w:rPr>
              <w:instrText xml:space="preserve"> PAGEREF _Toc189212137 \h </w:instrText>
            </w:r>
            <w:r>
              <w:rPr>
                <w:noProof/>
                <w:webHidden/>
              </w:rPr>
            </w:r>
            <w:r>
              <w:rPr>
                <w:noProof/>
                <w:webHidden/>
              </w:rPr>
              <w:fldChar w:fldCharType="separate"/>
            </w:r>
            <w:r>
              <w:rPr>
                <w:noProof/>
                <w:webHidden/>
              </w:rPr>
              <w:t>54</w:t>
            </w:r>
            <w:r>
              <w:rPr>
                <w:noProof/>
                <w:webHidden/>
              </w:rPr>
              <w:fldChar w:fldCharType="end"/>
            </w:r>
          </w:hyperlink>
        </w:p>
        <w:p w14:paraId="3C96FE9E" w14:textId="5EB11E53" w:rsidR="00CC6FF6" w:rsidRDefault="00CC6FF6">
          <w:pPr>
            <w:pStyle w:val="TOC3"/>
            <w:tabs>
              <w:tab w:val="left" w:pos="905"/>
              <w:tab w:val="right" w:leader="dot" w:pos="8790"/>
            </w:tabs>
            <w:rPr>
              <w:rFonts w:asciiTheme="minorHAnsi" w:eastAsiaTheme="minorEastAsia" w:hAnsiTheme="minorHAnsi" w:cstheme="minorBidi"/>
              <w:noProof/>
              <w:kern w:val="2"/>
              <w:sz w:val="24"/>
              <w:szCs w:val="24"/>
              <w:lang w:val="en-ZA" w:eastAsia="en-ZA"/>
              <w14:ligatures w14:val="standardContextual"/>
            </w:rPr>
          </w:pPr>
          <w:hyperlink w:anchor="_Toc189212138" w:history="1">
            <w:r w:rsidRPr="00145461">
              <w:rPr>
                <w:rStyle w:val="Hyperlink"/>
                <w:noProof/>
                <w:spacing w:val="-2"/>
                <w:w w:val="99"/>
              </w:rPr>
              <w:t>12.2.</w:t>
            </w:r>
            <w:r>
              <w:rPr>
                <w:rFonts w:asciiTheme="minorHAnsi" w:eastAsiaTheme="minorEastAsia" w:hAnsiTheme="minorHAnsi" w:cstheme="minorBidi"/>
                <w:noProof/>
                <w:kern w:val="2"/>
                <w:sz w:val="24"/>
                <w:szCs w:val="24"/>
                <w:lang w:val="en-ZA" w:eastAsia="en-ZA"/>
                <w14:ligatures w14:val="standardContextual"/>
              </w:rPr>
              <w:tab/>
            </w:r>
            <w:r w:rsidRPr="00145461">
              <w:rPr>
                <w:rStyle w:val="Hyperlink"/>
                <w:noProof/>
                <w:lang w:val="en-ZA"/>
              </w:rPr>
              <w:t>Requirement to submit a GloBE Information Return and notice of Designated Filing Entity</w:t>
            </w:r>
            <w:r>
              <w:rPr>
                <w:noProof/>
                <w:webHidden/>
              </w:rPr>
              <w:tab/>
            </w:r>
            <w:r>
              <w:rPr>
                <w:noProof/>
                <w:webHidden/>
              </w:rPr>
              <w:fldChar w:fldCharType="begin"/>
            </w:r>
            <w:r>
              <w:rPr>
                <w:noProof/>
                <w:webHidden/>
              </w:rPr>
              <w:instrText xml:space="preserve"> PAGEREF _Toc189212138 \h </w:instrText>
            </w:r>
            <w:r>
              <w:rPr>
                <w:noProof/>
                <w:webHidden/>
              </w:rPr>
            </w:r>
            <w:r>
              <w:rPr>
                <w:noProof/>
                <w:webHidden/>
              </w:rPr>
              <w:fldChar w:fldCharType="separate"/>
            </w:r>
            <w:r>
              <w:rPr>
                <w:noProof/>
                <w:webHidden/>
              </w:rPr>
              <w:t>54</w:t>
            </w:r>
            <w:r>
              <w:rPr>
                <w:noProof/>
                <w:webHidden/>
              </w:rPr>
              <w:fldChar w:fldCharType="end"/>
            </w:r>
          </w:hyperlink>
        </w:p>
        <w:p w14:paraId="07B2D901" w14:textId="6F3A359F" w:rsidR="00CC6FF6" w:rsidRDefault="00CC6FF6">
          <w:pPr>
            <w:pStyle w:val="TOC3"/>
            <w:tabs>
              <w:tab w:val="left" w:pos="905"/>
              <w:tab w:val="right" w:leader="dot" w:pos="8790"/>
            </w:tabs>
            <w:rPr>
              <w:rFonts w:asciiTheme="minorHAnsi" w:eastAsiaTheme="minorEastAsia" w:hAnsiTheme="minorHAnsi" w:cstheme="minorBidi"/>
              <w:noProof/>
              <w:kern w:val="2"/>
              <w:sz w:val="24"/>
              <w:szCs w:val="24"/>
              <w:lang w:val="en-ZA" w:eastAsia="en-ZA"/>
              <w14:ligatures w14:val="standardContextual"/>
            </w:rPr>
          </w:pPr>
          <w:hyperlink w:anchor="_Toc189212139" w:history="1">
            <w:r w:rsidRPr="00145461">
              <w:rPr>
                <w:rStyle w:val="Hyperlink"/>
                <w:noProof/>
                <w:spacing w:val="-2"/>
                <w:w w:val="99"/>
              </w:rPr>
              <w:t>12.3.</w:t>
            </w:r>
            <w:r>
              <w:rPr>
                <w:rFonts w:asciiTheme="minorHAnsi" w:eastAsiaTheme="minorEastAsia" w:hAnsiTheme="minorHAnsi" w:cstheme="minorBidi"/>
                <w:noProof/>
                <w:kern w:val="2"/>
                <w:sz w:val="24"/>
                <w:szCs w:val="24"/>
                <w:lang w:val="en-ZA" w:eastAsia="en-ZA"/>
                <w14:ligatures w14:val="standardContextual"/>
              </w:rPr>
              <w:tab/>
            </w:r>
            <w:r w:rsidRPr="00145461">
              <w:rPr>
                <w:rStyle w:val="Hyperlink"/>
                <w:noProof/>
                <w:lang w:val="en-ZA"/>
              </w:rPr>
              <w:t>Due date for filing a GloBE Information Return</w:t>
            </w:r>
            <w:r>
              <w:rPr>
                <w:noProof/>
                <w:webHidden/>
              </w:rPr>
              <w:tab/>
            </w:r>
            <w:r>
              <w:rPr>
                <w:noProof/>
                <w:webHidden/>
              </w:rPr>
              <w:fldChar w:fldCharType="begin"/>
            </w:r>
            <w:r>
              <w:rPr>
                <w:noProof/>
                <w:webHidden/>
              </w:rPr>
              <w:instrText xml:space="preserve"> PAGEREF _Toc189212139 \h </w:instrText>
            </w:r>
            <w:r>
              <w:rPr>
                <w:noProof/>
                <w:webHidden/>
              </w:rPr>
            </w:r>
            <w:r>
              <w:rPr>
                <w:noProof/>
                <w:webHidden/>
              </w:rPr>
              <w:fldChar w:fldCharType="separate"/>
            </w:r>
            <w:r>
              <w:rPr>
                <w:noProof/>
                <w:webHidden/>
              </w:rPr>
              <w:t>55</w:t>
            </w:r>
            <w:r>
              <w:rPr>
                <w:noProof/>
                <w:webHidden/>
              </w:rPr>
              <w:fldChar w:fldCharType="end"/>
            </w:r>
          </w:hyperlink>
        </w:p>
        <w:p w14:paraId="733BBA86" w14:textId="7452F64F" w:rsidR="00CC6FF6" w:rsidRDefault="00CC6FF6">
          <w:pPr>
            <w:pStyle w:val="TOC3"/>
            <w:tabs>
              <w:tab w:val="left" w:pos="905"/>
              <w:tab w:val="right" w:leader="dot" w:pos="8790"/>
            </w:tabs>
            <w:rPr>
              <w:rFonts w:asciiTheme="minorHAnsi" w:eastAsiaTheme="minorEastAsia" w:hAnsiTheme="minorHAnsi" w:cstheme="minorBidi"/>
              <w:noProof/>
              <w:kern w:val="2"/>
              <w:sz w:val="24"/>
              <w:szCs w:val="24"/>
              <w:lang w:val="en-ZA" w:eastAsia="en-ZA"/>
              <w14:ligatures w14:val="standardContextual"/>
            </w:rPr>
          </w:pPr>
          <w:hyperlink w:anchor="_Toc189212140" w:history="1">
            <w:r w:rsidRPr="00145461">
              <w:rPr>
                <w:rStyle w:val="Hyperlink"/>
                <w:noProof/>
                <w:spacing w:val="-2"/>
                <w:w w:val="99"/>
              </w:rPr>
              <w:t>12.4.</w:t>
            </w:r>
            <w:r>
              <w:rPr>
                <w:rFonts w:asciiTheme="minorHAnsi" w:eastAsiaTheme="minorEastAsia" w:hAnsiTheme="minorHAnsi" w:cstheme="minorBidi"/>
                <w:noProof/>
                <w:kern w:val="2"/>
                <w:sz w:val="24"/>
                <w:szCs w:val="24"/>
                <w:lang w:val="en-ZA" w:eastAsia="en-ZA"/>
                <w14:ligatures w14:val="standardContextual"/>
              </w:rPr>
              <w:tab/>
            </w:r>
            <w:r w:rsidRPr="00145461">
              <w:rPr>
                <w:rStyle w:val="Hyperlink"/>
                <w:noProof/>
                <w:lang w:val="en-ZA"/>
              </w:rPr>
              <w:t>Exception for returns provided under automatic exchange of information agreement</w:t>
            </w:r>
            <w:r>
              <w:rPr>
                <w:noProof/>
                <w:webHidden/>
              </w:rPr>
              <w:tab/>
            </w:r>
            <w:r>
              <w:rPr>
                <w:noProof/>
                <w:webHidden/>
              </w:rPr>
              <w:fldChar w:fldCharType="begin"/>
            </w:r>
            <w:r>
              <w:rPr>
                <w:noProof/>
                <w:webHidden/>
              </w:rPr>
              <w:instrText xml:space="preserve"> PAGEREF _Toc189212140 \h </w:instrText>
            </w:r>
            <w:r>
              <w:rPr>
                <w:noProof/>
                <w:webHidden/>
              </w:rPr>
            </w:r>
            <w:r>
              <w:rPr>
                <w:noProof/>
                <w:webHidden/>
              </w:rPr>
              <w:fldChar w:fldCharType="separate"/>
            </w:r>
            <w:r>
              <w:rPr>
                <w:noProof/>
                <w:webHidden/>
              </w:rPr>
              <w:t>55</w:t>
            </w:r>
            <w:r>
              <w:rPr>
                <w:noProof/>
                <w:webHidden/>
              </w:rPr>
              <w:fldChar w:fldCharType="end"/>
            </w:r>
          </w:hyperlink>
        </w:p>
        <w:p w14:paraId="556FAB9A" w14:textId="1C4EB6A6" w:rsidR="00CC6FF6" w:rsidRDefault="00CC6FF6">
          <w:pPr>
            <w:pStyle w:val="TOC3"/>
            <w:tabs>
              <w:tab w:val="left" w:pos="905"/>
              <w:tab w:val="right" w:leader="dot" w:pos="8790"/>
            </w:tabs>
            <w:rPr>
              <w:rFonts w:asciiTheme="minorHAnsi" w:eastAsiaTheme="minorEastAsia" w:hAnsiTheme="minorHAnsi" w:cstheme="minorBidi"/>
              <w:noProof/>
              <w:kern w:val="2"/>
              <w:sz w:val="24"/>
              <w:szCs w:val="24"/>
              <w:lang w:val="en-ZA" w:eastAsia="en-ZA"/>
              <w14:ligatures w14:val="standardContextual"/>
            </w:rPr>
          </w:pPr>
          <w:hyperlink w:anchor="_Toc189212141" w:history="1">
            <w:r w:rsidRPr="00145461">
              <w:rPr>
                <w:rStyle w:val="Hyperlink"/>
                <w:noProof/>
                <w:spacing w:val="-2"/>
                <w:w w:val="99"/>
              </w:rPr>
              <w:t>12.5.</w:t>
            </w:r>
            <w:r>
              <w:rPr>
                <w:rFonts w:asciiTheme="minorHAnsi" w:eastAsiaTheme="minorEastAsia" w:hAnsiTheme="minorHAnsi" w:cstheme="minorBidi"/>
                <w:noProof/>
                <w:kern w:val="2"/>
                <w:sz w:val="24"/>
                <w:szCs w:val="24"/>
                <w:lang w:val="en-ZA" w:eastAsia="en-ZA"/>
                <w14:ligatures w14:val="standardContextual"/>
              </w:rPr>
              <w:tab/>
            </w:r>
            <w:r w:rsidRPr="00145461">
              <w:rPr>
                <w:rStyle w:val="Hyperlink"/>
                <w:noProof/>
                <w:lang w:val="en-ZA"/>
              </w:rPr>
              <w:t>Due date for payment</w:t>
            </w:r>
            <w:r>
              <w:rPr>
                <w:noProof/>
                <w:webHidden/>
              </w:rPr>
              <w:tab/>
            </w:r>
            <w:r>
              <w:rPr>
                <w:noProof/>
                <w:webHidden/>
              </w:rPr>
              <w:fldChar w:fldCharType="begin"/>
            </w:r>
            <w:r>
              <w:rPr>
                <w:noProof/>
                <w:webHidden/>
              </w:rPr>
              <w:instrText xml:space="preserve"> PAGEREF _Toc189212141 \h </w:instrText>
            </w:r>
            <w:r>
              <w:rPr>
                <w:noProof/>
                <w:webHidden/>
              </w:rPr>
            </w:r>
            <w:r>
              <w:rPr>
                <w:noProof/>
                <w:webHidden/>
              </w:rPr>
              <w:fldChar w:fldCharType="separate"/>
            </w:r>
            <w:r>
              <w:rPr>
                <w:noProof/>
                <w:webHidden/>
              </w:rPr>
              <w:t>56</w:t>
            </w:r>
            <w:r>
              <w:rPr>
                <w:noProof/>
                <w:webHidden/>
              </w:rPr>
              <w:fldChar w:fldCharType="end"/>
            </w:r>
          </w:hyperlink>
        </w:p>
        <w:p w14:paraId="381715C7" w14:textId="0C31C18B" w:rsidR="00CC6FF6" w:rsidRDefault="00CC6FF6">
          <w:pPr>
            <w:pStyle w:val="TOC3"/>
            <w:tabs>
              <w:tab w:val="left" w:pos="905"/>
              <w:tab w:val="right" w:leader="dot" w:pos="8790"/>
            </w:tabs>
            <w:rPr>
              <w:rFonts w:asciiTheme="minorHAnsi" w:eastAsiaTheme="minorEastAsia" w:hAnsiTheme="minorHAnsi" w:cstheme="minorBidi"/>
              <w:noProof/>
              <w:kern w:val="2"/>
              <w:sz w:val="24"/>
              <w:szCs w:val="24"/>
              <w:lang w:val="en-ZA" w:eastAsia="en-ZA"/>
              <w14:ligatures w14:val="standardContextual"/>
            </w:rPr>
          </w:pPr>
          <w:hyperlink w:anchor="_Toc189212142" w:history="1">
            <w:r w:rsidRPr="00145461">
              <w:rPr>
                <w:rStyle w:val="Hyperlink"/>
                <w:noProof/>
                <w:spacing w:val="-2"/>
                <w:w w:val="99"/>
              </w:rPr>
              <w:t>12.6.</w:t>
            </w:r>
            <w:r>
              <w:rPr>
                <w:rFonts w:asciiTheme="minorHAnsi" w:eastAsiaTheme="minorEastAsia" w:hAnsiTheme="minorHAnsi" w:cstheme="minorBidi"/>
                <w:noProof/>
                <w:kern w:val="2"/>
                <w:sz w:val="24"/>
                <w:szCs w:val="24"/>
                <w:lang w:val="en-ZA" w:eastAsia="en-ZA"/>
                <w14:ligatures w14:val="standardContextual"/>
              </w:rPr>
              <w:tab/>
            </w:r>
            <w:r w:rsidRPr="00145461">
              <w:rPr>
                <w:rStyle w:val="Hyperlink"/>
                <w:noProof/>
                <w:lang w:val="en-ZA"/>
              </w:rPr>
              <w:t>Penalties</w:t>
            </w:r>
            <w:r>
              <w:rPr>
                <w:noProof/>
                <w:webHidden/>
              </w:rPr>
              <w:tab/>
            </w:r>
            <w:r>
              <w:rPr>
                <w:noProof/>
                <w:webHidden/>
              </w:rPr>
              <w:fldChar w:fldCharType="begin"/>
            </w:r>
            <w:r>
              <w:rPr>
                <w:noProof/>
                <w:webHidden/>
              </w:rPr>
              <w:instrText xml:space="preserve"> PAGEREF _Toc189212142 \h </w:instrText>
            </w:r>
            <w:r>
              <w:rPr>
                <w:noProof/>
                <w:webHidden/>
              </w:rPr>
            </w:r>
            <w:r>
              <w:rPr>
                <w:noProof/>
                <w:webHidden/>
              </w:rPr>
              <w:fldChar w:fldCharType="separate"/>
            </w:r>
            <w:r>
              <w:rPr>
                <w:noProof/>
                <w:webHidden/>
              </w:rPr>
              <w:t>57</w:t>
            </w:r>
            <w:r>
              <w:rPr>
                <w:noProof/>
                <w:webHidden/>
              </w:rPr>
              <w:fldChar w:fldCharType="end"/>
            </w:r>
          </w:hyperlink>
        </w:p>
        <w:p w14:paraId="68AB3D2C" w14:textId="33D90D88" w:rsidR="00CC6FF6" w:rsidRDefault="00CC6FF6">
          <w:pPr>
            <w:pStyle w:val="TOC3"/>
            <w:tabs>
              <w:tab w:val="left" w:pos="905"/>
              <w:tab w:val="right" w:leader="dot" w:pos="8790"/>
            </w:tabs>
            <w:rPr>
              <w:rFonts w:asciiTheme="minorHAnsi" w:eastAsiaTheme="minorEastAsia" w:hAnsiTheme="minorHAnsi" w:cstheme="minorBidi"/>
              <w:noProof/>
              <w:kern w:val="2"/>
              <w:sz w:val="24"/>
              <w:szCs w:val="24"/>
              <w:lang w:val="en-ZA" w:eastAsia="en-ZA"/>
              <w14:ligatures w14:val="standardContextual"/>
            </w:rPr>
          </w:pPr>
          <w:hyperlink w:anchor="_Toc189212143" w:history="1">
            <w:r w:rsidRPr="00145461">
              <w:rPr>
                <w:rStyle w:val="Hyperlink"/>
                <w:noProof/>
                <w:spacing w:val="-2"/>
                <w:w w:val="99"/>
              </w:rPr>
              <w:t>12.7.</w:t>
            </w:r>
            <w:r>
              <w:rPr>
                <w:rFonts w:asciiTheme="minorHAnsi" w:eastAsiaTheme="minorEastAsia" w:hAnsiTheme="minorHAnsi" w:cstheme="minorBidi"/>
                <w:noProof/>
                <w:kern w:val="2"/>
                <w:sz w:val="24"/>
                <w:szCs w:val="24"/>
                <w:lang w:val="en-ZA" w:eastAsia="en-ZA"/>
                <w14:ligatures w14:val="standardContextual"/>
              </w:rPr>
              <w:tab/>
            </w:r>
            <w:r w:rsidRPr="00145461">
              <w:rPr>
                <w:rStyle w:val="Hyperlink"/>
                <w:noProof/>
                <w:lang w:val="en-ZA"/>
              </w:rPr>
              <w:t>Record keeping and extension of period</w:t>
            </w:r>
            <w:r>
              <w:rPr>
                <w:noProof/>
                <w:webHidden/>
              </w:rPr>
              <w:tab/>
            </w:r>
            <w:r>
              <w:rPr>
                <w:noProof/>
                <w:webHidden/>
              </w:rPr>
              <w:fldChar w:fldCharType="begin"/>
            </w:r>
            <w:r>
              <w:rPr>
                <w:noProof/>
                <w:webHidden/>
              </w:rPr>
              <w:instrText xml:space="preserve"> PAGEREF _Toc189212143 \h </w:instrText>
            </w:r>
            <w:r>
              <w:rPr>
                <w:noProof/>
                <w:webHidden/>
              </w:rPr>
            </w:r>
            <w:r>
              <w:rPr>
                <w:noProof/>
                <w:webHidden/>
              </w:rPr>
              <w:fldChar w:fldCharType="separate"/>
            </w:r>
            <w:r>
              <w:rPr>
                <w:noProof/>
                <w:webHidden/>
              </w:rPr>
              <w:t>58</w:t>
            </w:r>
            <w:r>
              <w:rPr>
                <w:noProof/>
                <w:webHidden/>
              </w:rPr>
              <w:fldChar w:fldCharType="end"/>
            </w:r>
          </w:hyperlink>
        </w:p>
        <w:p w14:paraId="0C569E93" w14:textId="45E0E481" w:rsidR="00CC6FF6" w:rsidRDefault="00CC6FF6">
          <w:pPr>
            <w:pStyle w:val="TOC3"/>
            <w:tabs>
              <w:tab w:val="left" w:pos="905"/>
              <w:tab w:val="right" w:leader="dot" w:pos="8790"/>
            </w:tabs>
            <w:rPr>
              <w:rFonts w:asciiTheme="minorHAnsi" w:eastAsiaTheme="minorEastAsia" w:hAnsiTheme="minorHAnsi" w:cstheme="minorBidi"/>
              <w:noProof/>
              <w:kern w:val="2"/>
              <w:sz w:val="24"/>
              <w:szCs w:val="24"/>
              <w:lang w:val="en-ZA" w:eastAsia="en-ZA"/>
              <w14:ligatures w14:val="standardContextual"/>
            </w:rPr>
          </w:pPr>
          <w:hyperlink w:anchor="_Toc189212144" w:history="1">
            <w:r w:rsidRPr="00145461">
              <w:rPr>
                <w:rStyle w:val="Hyperlink"/>
                <w:noProof/>
                <w:spacing w:val="-2"/>
                <w:w w:val="99"/>
              </w:rPr>
              <w:t>12.8.</w:t>
            </w:r>
            <w:r>
              <w:rPr>
                <w:rFonts w:asciiTheme="minorHAnsi" w:eastAsiaTheme="minorEastAsia" w:hAnsiTheme="minorHAnsi" w:cstheme="minorBidi"/>
                <w:noProof/>
                <w:kern w:val="2"/>
                <w:sz w:val="24"/>
                <w:szCs w:val="24"/>
                <w:lang w:val="en-ZA" w:eastAsia="en-ZA"/>
                <w14:ligatures w14:val="standardContextual"/>
              </w:rPr>
              <w:tab/>
            </w:r>
            <w:r w:rsidRPr="00145461">
              <w:rPr>
                <w:rStyle w:val="Hyperlink"/>
                <w:noProof/>
                <w:lang w:val="en-ZA"/>
              </w:rPr>
              <w:t>Administration of the Act</w:t>
            </w:r>
            <w:r>
              <w:rPr>
                <w:noProof/>
                <w:webHidden/>
              </w:rPr>
              <w:tab/>
            </w:r>
            <w:r>
              <w:rPr>
                <w:noProof/>
                <w:webHidden/>
              </w:rPr>
              <w:fldChar w:fldCharType="begin"/>
            </w:r>
            <w:r>
              <w:rPr>
                <w:noProof/>
                <w:webHidden/>
              </w:rPr>
              <w:instrText xml:space="preserve"> PAGEREF _Toc189212144 \h </w:instrText>
            </w:r>
            <w:r>
              <w:rPr>
                <w:noProof/>
                <w:webHidden/>
              </w:rPr>
            </w:r>
            <w:r>
              <w:rPr>
                <w:noProof/>
                <w:webHidden/>
              </w:rPr>
              <w:fldChar w:fldCharType="separate"/>
            </w:r>
            <w:r>
              <w:rPr>
                <w:noProof/>
                <w:webHidden/>
              </w:rPr>
              <w:t>59</w:t>
            </w:r>
            <w:r>
              <w:rPr>
                <w:noProof/>
                <w:webHidden/>
              </w:rPr>
              <w:fldChar w:fldCharType="end"/>
            </w:r>
          </w:hyperlink>
        </w:p>
        <w:p w14:paraId="720E1BDB" w14:textId="6B7F4F04" w:rsidR="00CC6FF6" w:rsidRDefault="00CC6FF6">
          <w:pPr>
            <w:pStyle w:val="TOC3"/>
            <w:tabs>
              <w:tab w:val="left" w:pos="905"/>
              <w:tab w:val="right" w:leader="dot" w:pos="8790"/>
            </w:tabs>
            <w:rPr>
              <w:rFonts w:asciiTheme="minorHAnsi" w:eastAsiaTheme="minorEastAsia" w:hAnsiTheme="minorHAnsi" w:cstheme="minorBidi"/>
              <w:noProof/>
              <w:kern w:val="2"/>
              <w:sz w:val="24"/>
              <w:szCs w:val="24"/>
              <w:lang w:val="en-ZA" w:eastAsia="en-ZA"/>
              <w14:ligatures w14:val="standardContextual"/>
            </w:rPr>
          </w:pPr>
          <w:hyperlink w:anchor="_Toc189212145" w:history="1">
            <w:r w:rsidRPr="00145461">
              <w:rPr>
                <w:rStyle w:val="Hyperlink"/>
                <w:noProof/>
                <w:spacing w:val="-2"/>
                <w:w w:val="99"/>
              </w:rPr>
              <w:t>12.9.</w:t>
            </w:r>
            <w:r>
              <w:rPr>
                <w:rFonts w:asciiTheme="minorHAnsi" w:eastAsiaTheme="minorEastAsia" w:hAnsiTheme="minorHAnsi" w:cstheme="minorBidi"/>
                <w:noProof/>
                <w:kern w:val="2"/>
                <w:sz w:val="24"/>
                <w:szCs w:val="24"/>
                <w:lang w:val="en-ZA" w:eastAsia="en-ZA"/>
                <w14:ligatures w14:val="standardContextual"/>
              </w:rPr>
              <w:tab/>
            </w:r>
            <w:r w:rsidRPr="00145461">
              <w:rPr>
                <w:rStyle w:val="Hyperlink"/>
                <w:noProof/>
                <w:lang w:val="en-ZA"/>
              </w:rPr>
              <w:t>Short title and commencement</w:t>
            </w:r>
            <w:r>
              <w:rPr>
                <w:noProof/>
                <w:webHidden/>
              </w:rPr>
              <w:tab/>
            </w:r>
            <w:r>
              <w:rPr>
                <w:noProof/>
                <w:webHidden/>
              </w:rPr>
              <w:fldChar w:fldCharType="begin"/>
            </w:r>
            <w:r>
              <w:rPr>
                <w:noProof/>
                <w:webHidden/>
              </w:rPr>
              <w:instrText xml:space="preserve"> PAGEREF _Toc189212145 \h </w:instrText>
            </w:r>
            <w:r>
              <w:rPr>
                <w:noProof/>
                <w:webHidden/>
              </w:rPr>
            </w:r>
            <w:r>
              <w:rPr>
                <w:noProof/>
                <w:webHidden/>
              </w:rPr>
              <w:fldChar w:fldCharType="separate"/>
            </w:r>
            <w:r>
              <w:rPr>
                <w:noProof/>
                <w:webHidden/>
              </w:rPr>
              <w:t>59</w:t>
            </w:r>
            <w:r>
              <w:rPr>
                <w:noProof/>
                <w:webHidden/>
              </w:rPr>
              <w:fldChar w:fldCharType="end"/>
            </w:r>
          </w:hyperlink>
        </w:p>
        <w:p w14:paraId="224F9214" w14:textId="508F99C9" w:rsidR="00CC6FF6" w:rsidRDefault="00CC6FF6">
          <w:pPr>
            <w:pStyle w:val="TOC1"/>
            <w:tabs>
              <w:tab w:val="right" w:leader="dot" w:pos="8790"/>
            </w:tabs>
            <w:rPr>
              <w:rFonts w:asciiTheme="minorHAnsi" w:eastAsiaTheme="minorEastAsia" w:hAnsiTheme="minorHAnsi" w:cstheme="minorBidi"/>
              <w:b w:val="0"/>
              <w:bCs w:val="0"/>
              <w:noProof/>
              <w:kern w:val="2"/>
              <w:sz w:val="24"/>
              <w:szCs w:val="24"/>
              <w:lang w:val="en-ZA" w:eastAsia="en-ZA"/>
              <w14:ligatures w14:val="standardContextual"/>
            </w:rPr>
          </w:pPr>
          <w:hyperlink w:anchor="_Toc189212146" w:history="1">
            <w:r w:rsidRPr="00145461">
              <w:rPr>
                <w:rStyle w:val="Hyperlink"/>
                <w:noProof/>
                <w:spacing w:val="-2"/>
                <w:w w:val="99"/>
              </w:rPr>
              <w:t>13.</w:t>
            </w:r>
            <w:r>
              <w:rPr>
                <w:rFonts w:asciiTheme="minorHAnsi" w:eastAsiaTheme="minorEastAsia" w:hAnsiTheme="minorHAnsi" w:cstheme="minorBidi"/>
                <w:b w:val="0"/>
                <w:bCs w:val="0"/>
                <w:noProof/>
                <w:kern w:val="2"/>
                <w:sz w:val="24"/>
                <w:szCs w:val="24"/>
                <w:lang w:val="en-ZA" w:eastAsia="en-ZA"/>
                <w14:ligatures w14:val="standardContextual"/>
              </w:rPr>
              <w:tab/>
            </w:r>
            <w:r w:rsidRPr="00145461">
              <w:rPr>
                <w:rStyle w:val="Hyperlink"/>
                <w:noProof/>
              </w:rPr>
              <w:t>TAX ADMINISTRATION LAWS AMENDMENT BILL</w:t>
            </w:r>
            <w:r>
              <w:rPr>
                <w:noProof/>
                <w:webHidden/>
              </w:rPr>
              <w:tab/>
            </w:r>
            <w:r>
              <w:rPr>
                <w:noProof/>
                <w:webHidden/>
              </w:rPr>
              <w:fldChar w:fldCharType="begin"/>
            </w:r>
            <w:r>
              <w:rPr>
                <w:noProof/>
                <w:webHidden/>
              </w:rPr>
              <w:instrText xml:space="preserve"> PAGEREF _Toc189212146 \h </w:instrText>
            </w:r>
            <w:r>
              <w:rPr>
                <w:noProof/>
                <w:webHidden/>
              </w:rPr>
            </w:r>
            <w:r>
              <w:rPr>
                <w:noProof/>
                <w:webHidden/>
              </w:rPr>
              <w:fldChar w:fldCharType="separate"/>
            </w:r>
            <w:r>
              <w:rPr>
                <w:noProof/>
                <w:webHidden/>
              </w:rPr>
              <w:t>60</w:t>
            </w:r>
            <w:r>
              <w:rPr>
                <w:noProof/>
                <w:webHidden/>
              </w:rPr>
              <w:fldChar w:fldCharType="end"/>
            </w:r>
          </w:hyperlink>
        </w:p>
        <w:p w14:paraId="61A3C3EF" w14:textId="1DEEBEA6" w:rsidR="00CC6FF6" w:rsidRDefault="00CC6FF6">
          <w:pPr>
            <w:pStyle w:val="TOC3"/>
            <w:tabs>
              <w:tab w:val="left" w:pos="905"/>
              <w:tab w:val="right" w:leader="dot" w:pos="8790"/>
            </w:tabs>
            <w:rPr>
              <w:rFonts w:asciiTheme="minorHAnsi" w:eastAsiaTheme="minorEastAsia" w:hAnsiTheme="minorHAnsi" w:cstheme="minorBidi"/>
              <w:noProof/>
              <w:kern w:val="2"/>
              <w:sz w:val="24"/>
              <w:szCs w:val="24"/>
              <w:lang w:val="en-ZA" w:eastAsia="en-ZA"/>
              <w14:ligatures w14:val="standardContextual"/>
            </w:rPr>
          </w:pPr>
          <w:hyperlink w:anchor="_Toc189212147" w:history="1">
            <w:r w:rsidRPr="00145461">
              <w:rPr>
                <w:rStyle w:val="Hyperlink"/>
                <w:noProof/>
                <w:spacing w:val="-2"/>
                <w:w w:val="99"/>
              </w:rPr>
              <w:t>13.1.</w:t>
            </w:r>
            <w:r>
              <w:rPr>
                <w:rFonts w:asciiTheme="minorHAnsi" w:eastAsiaTheme="minorEastAsia" w:hAnsiTheme="minorHAnsi" w:cstheme="minorBidi"/>
                <w:noProof/>
                <w:kern w:val="2"/>
                <w:sz w:val="24"/>
                <w:szCs w:val="24"/>
                <w:lang w:val="en-ZA" w:eastAsia="en-ZA"/>
                <w14:ligatures w14:val="standardContextual"/>
              </w:rPr>
              <w:tab/>
            </w:r>
            <w:r w:rsidRPr="00145461">
              <w:rPr>
                <w:rStyle w:val="Hyperlink"/>
                <w:noProof/>
                <w:lang w:val="en-ZA"/>
              </w:rPr>
              <w:t>Amendment to the definition of “provisional taxpayer”</w:t>
            </w:r>
            <w:r>
              <w:rPr>
                <w:noProof/>
                <w:webHidden/>
              </w:rPr>
              <w:tab/>
            </w:r>
            <w:r>
              <w:rPr>
                <w:noProof/>
                <w:webHidden/>
              </w:rPr>
              <w:fldChar w:fldCharType="begin"/>
            </w:r>
            <w:r>
              <w:rPr>
                <w:noProof/>
                <w:webHidden/>
              </w:rPr>
              <w:instrText xml:space="preserve"> PAGEREF _Toc189212147 \h </w:instrText>
            </w:r>
            <w:r>
              <w:rPr>
                <w:noProof/>
                <w:webHidden/>
              </w:rPr>
            </w:r>
            <w:r>
              <w:rPr>
                <w:noProof/>
                <w:webHidden/>
              </w:rPr>
              <w:fldChar w:fldCharType="separate"/>
            </w:r>
            <w:r>
              <w:rPr>
                <w:noProof/>
                <w:webHidden/>
              </w:rPr>
              <w:t>60</w:t>
            </w:r>
            <w:r>
              <w:rPr>
                <w:noProof/>
                <w:webHidden/>
              </w:rPr>
              <w:fldChar w:fldCharType="end"/>
            </w:r>
          </w:hyperlink>
        </w:p>
        <w:p w14:paraId="62A08A47" w14:textId="66160217" w:rsidR="00CC6FF6" w:rsidRDefault="00CC6FF6">
          <w:pPr>
            <w:pStyle w:val="TOC3"/>
            <w:tabs>
              <w:tab w:val="left" w:pos="905"/>
              <w:tab w:val="right" w:leader="dot" w:pos="8790"/>
            </w:tabs>
            <w:rPr>
              <w:rFonts w:asciiTheme="minorHAnsi" w:eastAsiaTheme="minorEastAsia" w:hAnsiTheme="minorHAnsi" w:cstheme="minorBidi"/>
              <w:noProof/>
              <w:kern w:val="2"/>
              <w:sz w:val="24"/>
              <w:szCs w:val="24"/>
              <w:lang w:val="en-ZA" w:eastAsia="en-ZA"/>
              <w14:ligatures w14:val="standardContextual"/>
            </w:rPr>
          </w:pPr>
          <w:hyperlink w:anchor="_Toc189212148" w:history="1">
            <w:r w:rsidRPr="00145461">
              <w:rPr>
                <w:rStyle w:val="Hyperlink"/>
                <w:noProof/>
                <w:spacing w:val="-2"/>
                <w:w w:val="99"/>
              </w:rPr>
              <w:t>13.2.</w:t>
            </w:r>
            <w:r>
              <w:rPr>
                <w:rFonts w:asciiTheme="minorHAnsi" w:eastAsiaTheme="minorEastAsia" w:hAnsiTheme="minorHAnsi" w:cstheme="minorBidi"/>
                <w:noProof/>
                <w:kern w:val="2"/>
                <w:sz w:val="24"/>
                <w:szCs w:val="24"/>
                <w:lang w:val="en-ZA" w:eastAsia="en-ZA"/>
                <w14:ligatures w14:val="standardContextual"/>
              </w:rPr>
              <w:tab/>
            </w:r>
            <w:r w:rsidRPr="00145461">
              <w:rPr>
                <w:rStyle w:val="Hyperlink"/>
                <w:noProof/>
                <w:lang w:val="en-ZA"/>
              </w:rPr>
              <w:t>Timing of VAT on imported services</w:t>
            </w:r>
            <w:r>
              <w:rPr>
                <w:noProof/>
                <w:webHidden/>
              </w:rPr>
              <w:tab/>
            </w:r>
            <w:r>
              <w:rPr>
                <w:noProof/>
                <w:webHidden/>
              </w:rPr>
              <w:fldChar w:fldCharType="begin"/>
            </w:r>
            <w:r>
              <w:rPr>
                <w:noProof/>
                <w:webHidden/>
              </w:rPr>
              <w:instrText xml:space="preserve"> PAGEREF _Toc189212148 \h </w:instrText>
            </w:r>
            <w:r>
              <w:rPr>
                <w:noProof/>
                <w:webHidden/>
              </w:rPr>
            </w:r>
            <w:r>
              <w:rPr>
                <w:noProof/>
                <w:webHidden/>
              </w:rPr>
              <w:fldChar w:fldCharType="separate"/>
            </w:r>
            <w:r>
              <w:rPr>
                <w:noProof/>
                <w:webHidden/>
              </w:rPr>
              <w:t>60</w:t>
            </w:r>
            <w:r>
              <w:rPr>
                <w:noProof/>
                <w:webHidden/>
              </w:rPr>
              <w:fldChar w:fldCharType="end"/>
            </w:r>
          </w:hyperlink>
        </w:p>
        <w:p w14:paraId="43E5B98F" w14:textId="42C3FA8B" w:rsidR="00CC6FF6" w:rsidRDefault="00CC6FF6">
          <w:pPr>
            <w:pStyle w:val="TOC3"/>
            <w:tabs>
              <w:tab w:val="left" w:pos="905"/>
              <w:tab w:val="right" w:leader="dot" w:pos="8790"/>
            </w:tabs>
            <w:rPr>
              <w:rFonts w:asciiTheme="minorHAnsi" w:eastAsiaTheme="minorEastAsia" w:hAnsiTheme="minorHAnsi" w:cstheme="minorBidi"/>
              <w:noProof/>
              <w:kern w:val="2"/>
              <w:sz w:val="24"/>
              <w:szCs w:val="24"/>
              <w:lang w:val="en-ZA" w:eastAsia="en-ZA"/>
              <w14:ligatures w14:val="standardContextual"/>
            </w:rPr>
          </w:pPr>
          <w:hyperlink w:anchor="_Toc189212149" w:history="1">
            <w:r w:rsidRPr="00145461">
              <w:rPr>
                <w:rStyle w:val="Hyperlink"/>
                <w:noProof/>
                <w:spacing w:val="-2"/>
                <w:w w:val="99"/>
              </w:rPr>
              <w:t>13.3.</w:t>
            </w:r>
            <w:r>
              <w:rPr>
                <w:rFonts w:asciiTheme="minorHAnsi" w:eastAsiaTheme="minorEastAsia" w:hAnsiTheme="minorHAnsi" w:cstheme="minorBidi"/>
                <w:noProof/>
                <w:kern w:val="2"/>
                <w:sz w:val="24"/>
                <w:szCs w:val="24"/>
                <w:lang w:val="en-ZA" w:eastAsia="en-ZA"/>
                <w14:ligatures w14:val="standardContextual"/>
              </w:rPr>
              <w:tab/>
            </w:r>
            <w:r w:rsidRPr="00145461">
              <w:rPr>
                <w:rStyle w:val="Hyperlink"/>
                <w:noProof/>
                <w:lang w:val="en-ZA"/>
              </w:rPr>
              <w:t>Overpayments of VAT on the importation of goods and imported services</w:t>
            </w:r>
            <w:r>
              <w:rPr>
                <w:noProof/>
                <w:webHidden/>
              </w:rPr>
              <w:tab/>
            </w:r>
            <w:r>
              <w:rPr>
                <w:noProof/>
                <w:webHidden/>
              </w:rPr>
              <w:fldChar w:fldCharType="begin"/>
            </w:r>
            <w:r>
              <w:rPr>
                <w:noProof/>
                <w:webHidden/>
              </w:rPr>
              <w:instrText xml:space="preserve"> PAGEREF _Toc189212149 \h </w:instrText>
            </w:r>
            <w:r>
              <w:rPr>
                <w:noProof/>
                <w:webHidden/>
              </w:rPr>
            </w:r>
            <w:r>
              <w:rPr>
                <w:noProof/>
                <w:webHidden/>
              </w:rPr>
              <w:fldChar w:fldCharType="separate"/>
            </w:r>
            <w:r>
              <w:rPr>
                <w:noProof/>
                <w:webHidden/>
              </w:rPr>
              <w:t>61</w:t>
            </w:r>
            <w:r>
              <w:rPr>
                <w:noProof/>
                <w:webHidden/>
              </w:rPr>
              <w:fldChar w:fldCharType="end"/>
            </w:r>
          </w:hyperlink>
        </w:p>
        <w:p w14:paraId="5F0C6EC6" w14:textId="5385D8E6" w:rsidR="00CC6FF6" w:rsidRDefault="00CC6FF6">
          <w:pPr>
            <w:pStyle w:val="TOC3"/>
            <w:tabs>
              <w:tab w:val="left" w:pos="905"/>
              <w:tab w:val="right" w:leader="dot" w:pos="8790"/>
            </w:tabs>
            <w:rPr>
              <w:rFonts w:asciiTheme="minorHAnsi" w:eastAsiaTheme="minorEastAsia" w:hAnsiTheme="minorHAnsi" w:cstheme="minorBidi"/>
              <w:noProof/>
              <w:kern w:val="2"/>
              <w:sz w:val="24"/>
              <w:szCs w:val="24"/>
              <w:lang w:val="en-ZA" w:eastAsia="en-ZA"/>
              <w14:ligatures w14:val="standardContextual"/>
            </w:rPr>
          </w:pPr>
          <w:hyperlink w:anchor="_Toc189212150" w:history="1">
            <w:r w:rsidRPr="00145461">
              <w:rPr>
                <w:rStyle w:val="Hyperlink"/>
                <w:noProof/>
                <w:spacing w:val="-2"/>
                <w:w w:val="99"/>
              </w:rPr>
              <w:t>13.4.</w:t>
            </w:r>
            <w:r>
              <w:rPr>
                <w:rFonts w:asciiTheme="minorHAnsi" w:eastAsiaTheme="minorEastAsia" w:hAnsiTheme="minorHAnsi" w:cstheme="minorBidi"/>
                <w:noProof/>
                <w:kern w:val="2"/>
                <w:sz w:val="24"/>
                <w:szCs w:val="24"/>
                <w:lang w:val="en-ZA" w:eastAsia="en-ZA"/>
                <w14:ligatures w14:val="standardContextual"/>
              </w:rPr>
              <w:tab/>
            </w:r>
            <w:r w:rsidRPr="00145461">
              <w:rPr>
                <w:rStyle w:val="Hyperlink"/>
                <w:noProof/>
                <w:lang w:val="en-ZA"/>
              </w:rPr>
              <w:t>Non-resident vendors with no or a limited physical presence in South Africa</w:t>
            </w:r>
            <w:r>
              <w:rPr>
                <w:noProof/>
                <w:webHidden/>
              </w:rPr>
              <w:tab/>
            </w:r>
            <w:r>
              <w:rPr>
                <w:noProof/>
                <w:webHidden/>
              </w:rPr>
              <w:fldChar w:fldCharType="begin"/>
            </w:r>
            <w:r>
              <w:rPr>
                <w:noProof/>
                <w:webHidden/>
              </w:rPr>
              <w:instrText xml:space="preserve"> PAGEREF _Toc189212150 \h </w:instrText>
            </w:r>
            <w:r>
              <w:rPr>
                <w:noProof/>
                <w:webHidden/>
              </w:rPr>
            </w:r>
            <w:r>
              <w:rPr>
                <w:noProof/>
                <w:webHidden/>
              </w:rPr>
              <w:fldChar w:fldCharType="separate"/>
            </w:r>
            <w:r>
              <w:rPr>
                <w:noProof/>
                <w:webHidden/>
              </w:rPr>
              <w:t>61</w:t>
            </w:r>
            <w:r>
              <w:rPr>
                <w:noProof/>
                <w:webHidden/>
              </w:rPr>
              <w:fldChar w:fldCharType="end"/>
            </w:r>
          </w:hyperlink>
        </w:p>
        <w:p w14:paraId="7B029B3C" w14:textId="51160514" w:rsidR="00CC6FF6" w:rsidRDefault="00CC6FF6">
          <w:pPr>
            <w:pStyle w:val="TOC3"/>
            <w:tabs>
              <w:tab w:val="left" w:pos="905"/>
              <w:tab w:val="right" w:leader="dot" w:pos="8790"/>
            </w:tabs>
            <w:rPr>
              <w:rFonts w:asciiTheme="minorHAnsi" w:eastAsiaTheme="minorEastAsia" w:hAnsiTheme="minorHAnsi" w:cstheme="minorBidi"/>
              <w:noProof/>
              <w:kern w:val="2"/>
              <w:sz w:val="24"/>
              <w:szCs w:val="24"/>
              <w:lang w:val="en-ZA" w:eastAsia="en-ZA"/>
              <w14:ligatures w14:val="standardContextual"/>
            </w:rPr>
          </w:pPr>
          <w:hyperlink w:anchor="_Toc189212151" w:history="1">
            <w:r w:rsidRPr="00145461">
              <w:rPr>
                <w:rStyle w:val="Hyperlink"/>
                <w:noProof/>
                <w:spacing w:val="-2"/>
                <w:w w:val="99"/>
              </w:rPr>
              <w:t>13.5.</w:t>
            </w:r>
            <w:r>
              <w:rPr>
                <w:rFonts w:asciiTheme="minorHAnsi" w:eastAsiaTheme="minorEastAsia" w:hAnsiTheme="minorHAnsi" w:cstheme="minorBidi"/>
                <w:noProof/>
                <w:kern w:val="2"/>
                <w:sz w:val="24"/>
                <w:szCs w:val="24"/>
                <w:lang w:val="en-ZA" w:eastAsia="en-ZA"/>
                <w14:ligatures w14:val="standardContextual"/>
              </w:rPr>
              <w:tab/>
            </w:r>
            <w:r w:rsidRPr="00145461">
              <w:rPr>
                <w:rStyle w:val="Hyperlink"/>
                <w:noProof/>
                <w:lang w:val="en-ZA"/>
              </w:rPr>
              <w:t>Implementing the Constitutional Court judgment regarding tax records access</w:t>
            </w:r>
            <w:r>
              <w:rPr>
                <w:noProof/>
                <w:webHidden/>
              </w:rPr>
              <w:tab/>
            </w:r>
            <w:r>
              <w:rPr>
                <w:noProof/>
                <w:webHidden/>
              </w:rPr>
              <w:fldChar w:fldCharType="begin"/>
            </w:r>
            <w:r>
              <w:rPr>
                <w:noProof/>
                <w:webHidden/>
              </w:rPr>
              <w:instrText xml:space="preserve"> PAGEREF _Toc189212151 \h </w:instrText>
            </w:r>
            <w:r>
              <w:rPr>
                <w:noProof/>
                <w:webHidden/>
              </w:rPr>
            </w:r>
            <w:r>
              <w:rPr>
                <w:noProof/>
                <w:webHidden/>
              </w:rPr>
              <w:fldChar w:fldCharType="separate"/>
            </w:r>
            <w:r>
              <w:rPr>
                <w:noProof/>
                <w:webHidden/>
              </w:rPr>
              <w:t>62</w:t>
            </w:r>
            <w:r>
              <w:rPr>
                <w:noProof/>
                <w:webHidden/>
              </w:rPr>
              <w:fldChar w:fldCharType="end"/>
            </w:r>
          </w:hyperlink>
        </w:p>
        <w:p w14:paraId="2E0A4FEC" w14:textId="2762787A" w:rsidR="00CC6FF6" w:rsidRDefault="00CC6FF6">
          <w:pPr>
            <w:pStyle w:val="TOC3"/>
            <w:tabs>
              <w:tab w:val="left" w:pos="905"/>
              <w:tab w:val="right" w:leader="dot" w:pos="8790"/>
            </w:tabs>
            <w:rPr>
              <w:rFonts w:asciiTheme="minorHAnsi" w:eastAsiaTheme="minorEastAsia" w:hAnsiTheme="minorHAnsi" w:cstheme="minorBidi"/>
              <w:noProof/>
              <w:kern w:val="2"/>
              <w:sz w:val="24"/>
              <w:szCs w:val="24"/>
              <w:lang w:val="en-ZA" w:eastAsia="en-ZA"/>
              <w14:ligatures w14:val="standardContextual"/>
            </w:rPr>
          </w:pPr>
          <w:hyperlink w:anchor="_Toc189212152" w:history="1">
            <w:r w:rsidRPr="00145461">
              <w:rPr>
                <w:rStyle w:val="Hyperlink"/>
                <w:noProof/>
                <w:spacing w:val="-2"/>
                <w:w w:val="99"/>
              </w:rPr>
              <w:t>13.6.</w:t>
            </w:r>
            <w:r>
              <w:rPr>
                <w:rFonts w:asciiTheme="minorHAnsi" w:eastAsiaTheme="minorEastAsia" w:hAnsiTheme="minorHAnsi" w:cstheme="minorBidi"/>
                <w:noProof/>
                <w:kern w:val="2"/>
                <w:sz w:val="24"/>
                <w:szCs w:val="24"/>
                <w:lang w:val="en-ZA" w:eastAsia="en-ZA"/>
                <w14:ligatures w14:val="standardContextual"/>
              </w:rPr>
              <w:tab/>
            </w:r>
            <w:r w:rsidRPr="00145461">
              <w:rPr>
                <w:rStyle w:val="Hyperlink"/>
                <w:noProof/>
                <w:lang w:val="en-ZA"/>
              </w:rPr>
              <w:t>Right of appearance of SARS officials and natural persons appearing on behalf of the taxpayer and provision for cost orders in favour of SARS</w:t>
            </w:r>
            <w:r>
              <w:rPr>
                <w:noProof/>
                <w:webHidden/>
              </w:rPr>
              <w:tab/>
            </w:r>
            <w:r>
              <w:rPr>
                <w:noProof/>
                <w:webHidden/>
              </w:rPr>
              <w:fldChar w:fldCharType="begin"/>
            </w:r>
            <w:r>
              <w:rPr>
                <w:noProof/>
                <w:webHidden/>
              </w:rPr>
              <w:instrText xml:space="preserve"> PAGEREF _Toc189212152 \h </w:instrText>
            </w:r>
            <w:r>
              <w:rPr>
                <w:noProof/>
                <w:webHidden/>
              </w:rPr>
            </w:r>
            <w:r>
              <w:rPr>
                <w:noProof/>
                <w:webHidden/>
              </w:rPr>
              <w:fldChar w:fldCharType="separate"/>
            </w:r>
            <w:r>
              <w:rPr>
                <w:noProof/>
                <w:webHidden/>
              </w:rPr>
              <w:t>62</w:t>
            </w:r>
            <w:r>
              <w:rPr>
                <w:noProof/>
                <w:webHidden/>
              </w:rPr>
              <w:fldChar w:fldCharType="end"/>
            </w:r>
          </w:hyperlink>
        </w:p>
        <w:p w14:paraId="5CA8E5C7" w14:textId="7DF433EF" w:rsidR="00CC6FF6" w:rsidRDefault="00CC6FF6">
          <w:pPr>
            <w:pStyle w:val="TOC3"/>
            <w:tabs>
              <w:tab w:val="left" w:pos="905"/>
              <w:tab w:val="right" w:leader="dot" w:pos="8790"/>
            </w:tabs>
            <w:rPr>
              <w:rFonts w:asciiTheme="minorHAnsi" w:eastAsiaTheme="minorEastAsia" w:hAnsiTheme="minorHAnsi" w:cstheme="minorBidi"/>
              <w:noProof/>
              <w:kern w:val="2"/>
              <w:sz w:val="24"/>
              <w:szCs w:val="24"/>
              <w:lang w:val="en-ZA" w:eastAsia="en-ZA"/>
              <w14:ligatures w14:val="standardContextual"/>
            </w:rPr>
          </w:pPr>
          <w:hyperlink w:anchor="_Toc189212153" w:history="1">
            <w:r w:rsidRPr="00145461">
              <w:rPr>
                <w:rStyle w:val="Hyperlink"/>
                <w:noProof/>
                <w:spacing w:val="-2"/>
                <w:w w:val="99"/>
              </w:rPr>
              <w:t>13.7.</w:t>
            </w:r>
            <w:r>
              <w:rPr>
                <w:rFonts w:asciiTheme="minorHAnsi" w:eastAsiaTheme="minorEastAsia" w:hAnsiTheme="minorHAnsi" w:cstheme="minorBidi"/>
                <w:noProof/>
                <w:kern w:val="2"/>
                <w:sz w:val="24"/>
                <w:szCs w:val="24"/>
                <w:lang w:val="en-ZA" w:eastAsia="en-ZA"/>
                <w14:ligatures w14:val="standardContextual"/>
              </w:rPr>
              <w:tab/>
            </w:r>
            <w:r w:rsidRPr="00145461">
              <w:rPr>
                <w:rStyle w:val="Hyperlink"/>
                <w:noProof/>
                <w:lang w:val="en-ZA"/>
              </w:rPr>
              <w:t>Expanding the provision requiring the presentation of relevant information in person</w:t>
            </w:r>
            <w:r>
              <w:rPr>
                <w:noProof/>
                <w:webHidden/>
              </w:rPr>
              <w:tab/>
            </w:r>
            <w:r>
              <w:rPr>
                <w:noProof/>
                <w:webHidden/>
              </w:rPr>
              <w:fldChar w:fldCharType="begin"/>
            </w:r>
            <w:r>
              <w:rPr>
                <w:noProof/>
                <w:webHidden/>
              </w:rPr>
              <w:instrText xml:space="preserve"> PAGEREF _Toc189212153 \h </w:instrText>
            </w:r>
            <w:r>
              <w:rPr>
                <w:noProof/>
                <w:webHidden/>
              </w:rPr>
            </w:r>
            <w:r>
              <w:rPr>
                <w:noProof/>
                <w:webHidden/>
              </w:rPr>
              <w:fldChar w:fldCharType="separate"/>
            </w:r>
            <w:r>
              <w:rPr>
                <w:noProof/>
                <w:webHidden/>
              </w:rPr>
              <w:t>65</w:t>
            </w:r>
            <w:r>
              <w:rPr>
                <w:noProof/>
                <w:webHidden/>
              </w:rPr>
              <w:fldChar w:fldCharType="end"/>
            </w:r>
          </w:hyperlink>
        </w:p>
        <w:p w14:paraId="5683E35A" w14:textId="4C7D97B3" w:rsidR="00CC6FF6" w:rsidRDefault="00CC6FF6">
          <w:pPr>
            <w:pStyle w:val="TOC3"/>
            <w:tabs>
              <w:tab w:val="left" w:pos="905"/>
              <w:tab w:val="right" w:leader="dot" w:pos="8790"/>
            </w:tabs>
            <w:rPr>
              <w:rFonts w:asciiTheme="minorHAnsi" w:eastAsiaTheme="minorEastAsia" w:hAnsiTheme="minorHAnsi" w:cstheme="minorBidi"/>
              <w:noProof/>
              <w:kern w:val="2"/>
              <w:sz w:val="24"/>
              <w:szCs w:val="24"/>
              <w:lang w:val="en-ZA" w:eastAsia="en-ZA"/>
              <w14:ligatures w14:val="standardContextual"/>
            </w:rPr>
          </w:pPr>
          <w:hyperlink w:anchor="_Toc189212154" w:history="1">
            <w:r w:rsidRPr="00145461">
              <w:rPr>
                <w:rStyle w:val="Hyperlink"/>
                <w:noProof/>
                <w:spacing w:val="-2"/>
                <w:w w:val="99"/>
              </w:rPr>
              <w:t>13.8.</w:t>
            </w:r>
            <w:r>
              <w:rPr>
                <w:rFonts w:asciiTheme="minorHAnsi" w:eastAsiaTheme="minorEastAsia" w:hAnsiTheme="minorHAnsi" w:cstheme="minorBidi"/>
                <w:noProof/>
                <w:kern w:val="2"/>
                <w:sz w:val="24"/>
                <w:szCs w:val="24"/>
                <w:lang w:val="en-ZA" w:eastAsia="en-ZA"/>
                <w14:ligatures w14:val="standardContextual"/>
              </w:rPr>
              <w:tab/>
            </w:r>
            <w:r w:rsidRPr="00145461">
              <w:rPr>
                <w:rStyle w:val="Hyperlink"/>
                <w:noProof/>
                <w:lang w:val="en-ZA"/>
              </w:rPr>
              <w:t>Clarifying provisions relating to original assessments</w:t>
            </w:r>
            <w:r>
              <w:rPr>
                <w:noProof/>
                <w:webHidden/>
              </w:rPr>
              <w:tab/>
            </w:r>
            <w:r>
              <w:rPr>
                <w:noProof/>
                <w:webHidden/>
              </w:rPr>
              <w:fldChar w:fldCharType="begin"/>
            </w:r>
            <w:r>
              <w:rPr>
                <w:noProof/>
                <w:webHidden/>
              </w:rPr>
              <w:instrText xml:space="preserve"> PAGEREF _Toc189212154 \h </w:instrText>
            </w:r>
            <w:r>
              <w:rPr>
                <w:noProof/>
                <w:webHidden/>
              </w:rPr>
            </w:r>
            <w:r>
              <w:rPr>
                <w:noProof/>
                <w:webHidden/>
              </w:rPr>
              <w:fldChar w:fldCharType="separate"/>
            </w:r>
            <w:r>
              <w:rPr>
                <w:noProof/>
                <w:webHidden/>
              </w:rPr>
              <w:t>66</w:t>
            </w:r>
            <w:r>
              <w:rPr>
                <w:noProof/>
                <w:webHidden/>
              </w:rPr>
              <w:fldChar w:fldCharType="end"/>
            </w:r>
          </w:hyperlink>
        </w:p>
        <w:p w14:paraId="1CB5C84B" w14:textId="7573A28B" w:rsidR="00CC6FF6" w:rsidRDefault="00CC6FF6">
          <w:pPr>
            <w:pStyle w:val="TOC3"/>
            <w:tabs>
              <w:tab w:val="left" w:pos="905"/>
              <w:tab w:val="right" w:leader="dot" w:pos="8790"/>
            </w:tabs>
            <w:rPr>
              <w:rFonts w:asciiTheme="minorHAnsi" w:eastAsiaTheme="minorEastAsia" w:hAnsiTheme="minorHAnsi" w:cstheme="minorBidi"/>
              <w:noProof/>
              <w:kern w:val="2"/>
              <w:sz w:val="24"/>
              <w:szCs w:val="24"/>
              <w:lang w:val="en-ZA" w:eastAsia="en-ZA"/>
              <w14:ligatures w14:val="standardContextual"/>
            </w:rPr>
          </w:pPr>
          <w:hyperlink w:anchor="_Toc189212155" w:history="1">
            <w:r w:rsidRPr="00145461">
              <w:rPr>
                <w:rStyle w:val="Hyperlink"/>
                <w:noProof/>
                <w:spacing w:val="-2"/>
                <w:w w:val="99"/>
              </w:rPr>
              <w:t>13.9.</w:t>
            </w:r>
            <w:r>
              <w:rPr>
                <w:rFonts w:asciiTheme="minorHAnsi" w:eastAsiaTheme="minorEastAsia" w:hAnsiTheme="minorHAnsi" w:cstheme="minorBidi"/>
                <w:noProof/>
                <w:kern w:val="2"/>
                <w:sz w:val="24"/>
                <w:szCs w:val="24"/>
                <w:lang w:val="en-ZA" w:eastAsia="en-ZA"/>
                <w14:ligatures w14:val="standardContextual"/>
              </w:rPr>
              <w:tab/>
            </w:r>
            <w:r w:rsidRPr="00145461">
              <w:rPr>
                <w:rStyle w:val="Hyperlink"/>
                <w:noProof/>
                <w:lang w:val="en-ZA"/>
              </w:rPr>
              <w:t>Introduction of alternative dispute resolution proceedings at the objection stage of a dispute</w:t>
            </w:r>
            <w:r>
              <w:rPr>
                <w:noProof/>
                <w:webHidden/>
              </w:rPr>
              <w:tab/>
            </w:r>
            <w:r>
              <w:rPr>
                <w:noProof/>
                <w:webHidden/>
              </w:rPr>
              <w:fldChar w:fldCharType="begin"/>
            </w:r>
            <w:r>
              <w:rPr>
                <w:noProof/>
                <w:webHidden/>
              </w:rPr>
              <w:instrText xml:space="preserve"> PAGEREF _Toc189212155 \h </w:instrText>
            </w:r>
            <w:r>
              <w:rPr>
                <w:noProof/>
                <w:webHidden/>
              </w:rPr>
            </w:r>
            <w:r>
              <w:rPr>
                <w:noProof/>
                <w:webHidden/>
              </w:rPr>
              <w:fldChar w:fldCharType="separate"/>
            </w:r>
            <w:r>
              <w:rPr>
                <w:noProof/>
                <w:webHidden/>
              </w:rPr>
              <w:t>68</w:t>
            </w:r>
            <w:r>
              <w:rPr>
                <w:noProof/>
                <w:webHidden/>
              </w:rPr>
              <w:fldChar w:fldCharType="end"/>
            </w:r>
          </w:hyperlink>
        </w:p>
        <w:p w14:paraId="04D19B80" w14:textId="73C5DD51" w:rsidR="00CC6FF6" w:rsidRDefault="00CC6FF6">
          <w:pPr>
            <w:pStyle w:val="TOC3"/>
            <w:tabs>
              <w:tab w:val="left" w:pos="1100"/>
              <w:tab w:val="right" w:leader="dot" w:pos="8790"/>
            </w:tabs>
            <w:rPr>
              <w:rFonts w:asciiTheme="minorHAnsi" w:eastAsiaTheme="minorEastAsia" w:hAnsiTheme="minorHAnsi" w:cstheme="minorBidi"/>
              <w:noProof/>
              <w:kern w:val="2"/>
              <w:sz w:val="24"/>
              <w:szCs w:val="24"/>
              <w:lang w:val="en-ZA" w:eastAsia="en-ZA"/>
              <w14:ligatures w14:val="standardContextual"/>
            </w:rPr>
          </w:pPr>
          <w:hyperlink w:anchor="_Toc189212156" w:history="1">
            <w:r w:rsidRPr="00145461">
              <w:rPr>
                <w:rStyle w:val="Hyperlink"/>
                <w:noProof/>
                <w:spacing w:val="-2"/>
                <w:w w:val="99"/>
              </w:rPr>
              <w:t>13.10.</w:t>
            </w:r>
            <w:r>
              <w:rPr>
                <w:rFonts w:asciiTheme="minorHAnsi" w:eastAsiaTheme="minorEastAsia" w:hAnsiTheme="minorHAnsi" w:cstheme="minorBidi"/>
                <w:noProof/>
                <w:kern w:val="2"/>
                <w:sz w:val="24"/>
                <w:szCs w:val="24"/>
                <w:lang w:val="en-ZA" w:eastAsia="en-ZA"/>
                <w14:ligatures w14:val="standardContextual"/>
              </w:rPr>
              <w:tab/>
            </w:r>
            <w:r w:rsidRPr="00145461">
              <w:rPr>
                <w:rStyle w:val="Hyperlink"/>
                <w:noProof/>
                <w:lang w:val="en-ZA"/>
              </w:rPr>
              <w:t>Removing the grace period for a new company to appoint a public officer</w:t>
            </w:r>
            <w:r>
              <w:rPr>
                <w:noProof/>
                <w:webHidden/>
              </w:rPr>
              <w:tab/>
            </w:r>
            <w:r>
              <w:rPr>
                <w:noProof/>
                <w:webHidden/>
              </w:rPr>
              <w:fldChar w:fldCharType="begin"/>
            </w:r>
            <w:r>
              <w:rPr>
                <w:noProof/>
                <w:webHidden/>
              </w:rPr>
              <w:instrText xml:space="preserve"> PAGEREF _Toc189212156 \h </w:instrText>
            </w:r>
            <w:r>
              <w:rPr>
                <w:noProof/>
                <w:webHidden/>
              </w:rPr>
            </w:r>
            <w:r>
              <w:rPr>
                <w:noProof/>
                <w:webHidden/>
              </w:rPr>
              <w:fldChar w:fldCharType="separate"/>
            </w:r>
            <w:r>
              <w:rPr>
                <w:noProof/>
                <w:webHidden/>
              </w:rPr>
              <w:t>70</w:t>
            </w:r>
            <w:r>
              <w:rPr>
                <w:noProof/>
                <w:webHidden/>
              </w:rPr>
              <w:fldChar w:fldCharType="end"/>
            </w:r>
          </w:hyperlink>
        </w:p>
        <w:p w14:paraId="78471E17" w14:textId="13A152F9" w:rsidR="00CC6FF6" w:rsidRDefault="00CC6FF6">
          <w:pPr>
            <w:pStyle w:val="TOC3"/>
            <w:tabs>
              <w:tab w:val="left" w:pos="1100"/>
              <w:tab w:val="right" w:leader="dot" w:pos="8790"/>
            </w:tabs>
            <w:rPr>
              <w:rFonts w:asciiTheme="minorHAnsi" w:eastAsiaTheme="minorEastAsia" w:hAnsiTheme="minorHAnsi" w:cstheme="minorBidi"/>
              <w:noProof/>
              <w:kern w:val="2"/>
              <w:sz w:val="24"/>
              <w:szCs w:val="24"/>
              <w:lang w:val="en-ZA" w:eastAsia="en-ZA"/>
              <w14:ligatures w14:val="standardContextual"/>
            </w:rPr>
          </w:pPr>
          <w:hyperlink w:anchor="_Toc189212157" w:history="1">
            <w:r w:rsidRPr="00145461">
              <w:rPr>
                <w:rStyle w:val="Hyperlink"/>
                <w:noProof/>
                <w:spacing w:val="-2"/>
                <w:w w:val="99"/>
              </w:rPr>
              <w:t>13.11.</w:t>
            </w:r>
            <w:r>
              <w:rPr>
                <w:rFonts w:asciiTheme="minorHAnsi" w:eastAsiaTheme="minorEastAsia" w:hAnsiTheme="minorHAnsi" w:cstheme="minorBidi"/>
                <w:noProof/>
                <w:kern w:val="2"/>
                <w:sz w:val="24"/>
                <w:szCs w:val="24"/>
                <w:lang w:val="en-ZA" w:eastAsia="en-ZA"/>
                <w14:ligatures w14:val="standardContextual"/>
              </w:rPr>
              <w:tab/>
            </w:r>
            <w:r w:rsidRPr="00145461">
              <w:rPr>
                <w:rStyle w:val="Hyperlink"/>
                <w:noProof/>
                <w:lang w:val="en-ZA"/>
              </w:rPr>
              <w:t>Amendments not included in draft Bill released for public comment</w:t>
            </w:r>
            <w:r>
              <w:rPr>
                <w:noProof/>
                <w:webHidden/>
              </w:rPr>
              <w:tab/>
            </w:r>
            <w:r>
              <w:rPr>
                <w:noProof/>
                <w:webHidden/>
              </w:rPr>
              <w:fldChar w:fldCharType="begin"/>
            </w:r>
            <w:r>
              <w:rPr>
                <w:noProof/>
                <w:webHidden/>
              </w:rPr>
              <w:instrText xml:space="preserve"> PAGEREF _Toc189212157 \h </w:instrText>
            </w:r>
            <w:r>
              <w:rPr>
                <w:noProof/>
                <w:webHidden/>
              </w:rPr>
            </w:r>
            <w:r>
              <w:rPr>
                <w:noProof/>
                <w:webHidden/>
              </w:rPr>
              <w:fldChar w:fldCharType="separate"/>
            </w:r>
            <w:r>
              <w:rPr>
                <w:noProof/>
                <w:webHidden/>
              </w:rPr>
              <w:t>71</w:t>
            </w:r>
            <w:r>
              <w:rPr>
                <w:noProof/>
                <w:webHidden/>
              </w:rPr>
              <w:fldChar w:fldCharType="end"/>
            </w:r>
          </w:hyperlink>
        </w:p>
        <w:p w14:paraId="09CC1982" w14:textId="5B5A5915" w:rsidR="0050136B" w:rsidRPr="00EB4FA2" w:rsidRDefault="0050136B">
          <w:r w:rsidRPr="003F111D">
            <w:rPr>
              <w:rFonts w:ascii="Arial" w:hAnsi="Arial" w:cs="Arial"/>
              <w:b/>
              <w:bCs/>
            </w:rPr>
            <w:fldChar w:fldCharType="end"/>
          </w:r>
        </w:p>
      </w:sdtContent>
    </w:sdt>
    <w:p w14:paraId="5DEA0BB6" w14:textId="77777777" w:rsidR="006A60FB" w:rsidRPr="00EB4FA2" w:rsidRDefault="006A60FB" w:rsidP="251BE3F0">
      <w:pPr>
        <w:rPr>
          <w:sz w:val="18"/>
          <w:szCs w:val="18"/>
        </w:rPr>
      </w:pPr>
    </w:p>
    <w:p w14:paraId="29E4474E" w14:textId="77777777" w:rsidR="006A60FB" w:rsidRPr="00EB4FA2" w:rsidRDefault="006A60FB" w:rsidP="251BE3F0">
      <w:pPr>
        <w:rPr>
          <w:sz w:val="18"/>
          <w:szCs w:val="18"/>
        </w:rPr>
      </w:pPr>
    </w:p>
    <w:p w14:paraId="7C5CF9CF" w14:textId="77777777" w:rsidR="006A60FB" w:rsidRPr="00EB4FA2" w:rsidRDefault="006A60FB" w:rsidP="251BE3F0">
      <w:pPr>
        <w:rPr>
          <w:sz w:val="18"/>
          <w:szCs w:val="18"/>
        </w:rPr>
      </w:pPr>
    </w:p>
    <w:p w14:paraId="145BBFC5" w14:textId="77777777" w:rsidR="006A60FB" w:rsidRPr="00EB4FA2" w:rsidRDefault="006A60FB" w:rsidP="251BE3F0">
      <w:pPr>
        <w:rPr>
          <w:sz w:val="18"/>
          <w:szCs w:val="18"/>
        </w:rPr>
      </w:pPr>
    </w:p>
    <w:p w14:paraId="773A7FEA" w14:textId="77777777" w:rsidR="006A60FB" w:rsidRPr="00EB4FA2" w:rsidRDefault="006A60FB" w:rsidP="251BE3F0">
      <w:pPr>
        <w:rPr>
          <w:sz w:val="18"/>
          <w:szCs w:val="18"/>
        </w:rPr>
      </w:pPr>
    </w:p>
    <w:p w14:paraId="2B06F5D9" w14:textId="77777777" w:rsidR="006A60FB" w:rsidRPr="00EB4FA2" w:rsidRDefault="006A60FB" w:rsidP="251BE3F0">
      <w:pPr>
        <w:rPr>
          <w:sz w:val="18"/>
          <w:szCs w:val="18"/>
        </w:rPr>
      </w:pPr>
    </w:p>
    <w:p w14:paraId="59F3C340" w14:textId="77777777" w:rsidR="009429D2" w:rsidRPr="00EB4FA2" w:rsidRDefault="009429D2" w:rsidP="251BE3F0">
      <w:pPr>
        <w:rPr>
          <w:sz w:val="18"/>
          <w:szCs w:val="18"/>
        </w:rPr>
      </w:pPr>
    </w:p>
    <w:p w14:paraId="5EFEA1FF" w14:textId="77777777" w:rsidR="009429D2" w:rsidRPr="00EB4FA2" w:rsidRDefault="009429D2" w:rsidP="251BE3F0">
      <w:pPr>
        <w:rPr>
          <w:sz w:val="18"/>
          <w:szCs w:val="18"/>
        </w:rPr>
      </w:pPr>
    </w:p>
    <w:p w14:paraId="43484DD2" w14:textId="77777777" w:rsidR="009429D2" w:rsidRPr="00EB4FA2" w:rsidRDefault="009429D2" w:rsidP="251BE3F0">
      <w:pPr>
        <w:rPr>
          <w:sz w:val="18"/>
          <w:szCs w:val="18"/>
        </w:rPr>
      </w:pPr>
    </w:p>
    <w:p w14:paraId="342ED718" w14:textId="77777777" w:rsidR="009429D2" w:rsidRPr="00EB4FA2" w:rsidRDefault="009429D2" w:rsidP="251BE3F0">
      <w:pPr>
        <w:rPr>
          <w:sz w:val="18"/>
          <w:szCs w:val="18"/>
        </w:rPr>
      </w:pPr>
    </w:p>
    <w:p w14:paraId="574FFB35" w14:textId="77777777" w:rsidR="009429D2" w:rsidRPr="00EB4FA2" w:rsidRDefault="009429D2" w:rsidP="251BE3F0">
      <w:pPr>
        <w:rPr>
          <w:sz w:val="18"/>
          <w:szCs w:val="18"/>
        </w:rPr>
      </w:pPr>
    </w:p>
    <w:p w14:paraId="67A47356" w14:textId="77777777" w:rsidR="009429D2" w:rsidRPr="00EB4FA2" w:rsidRDefault="009429D2" w:rsidP="251BE3F0">
      <w:pPr>
        <w:rPr>
          <w:sz w:val="18"/>
          <w:szCs w:val="18"/>
        </w:rPr>
      </w:pPr>
    </w:p>
    <w:p w14:paraId="732DC851" w14:textId="77777777" w:rsidR="009429D2" w:rsidRPr="00EB4FA2" w:rsidRDefault="009429D2" w:rsidP="251BE3F0">
      <w:pPr>
        <w:rPr>
          <w:sz w:val="18"/>
          <w:szCs w:val="18"/>
        </w:rPr>
      </w:pPr>
    </w:p>
    <w:p w14:paraId="1FC56BD3" w14:textId="77777777" w:rsidR="009429D2" w:rsidRPr="00EB4FA2" w:rsidRDefault="009429D2" w:rsidP="251BE3F0">
      <w:pPr>
        <w:rPr>
          <w:sz w:val="18"/>
          <w:szCs w:val="18"/>
        </w:rPr>
      </w:pPr>
    </w:p>
    <w:p w14:paraId="315441A5" w14:textId="77777777" w:rsidR="009429D2" w:rsidRPr="00EB4FA2" w:rsidRDefault="009429D2" w:rsidP="251BE3F0">
      <w:pPr>
        <w:rPr>
          <w:sz w:val="18"/>
          <w:szCs w:val="18"/>
        </w:rPr>
      </w:pPr>
    </w:p>
    <w:p w14:paraId="79799DD1" w14:textId="77777777" w:rsidR="009429D2" w:rsidRPr="00EB4FA2" w:rsidRDefault="009429D2" w:rsidP="251BE3F0">
      <w:pPr>
        <w:rPr>
          <w:sz w:val="18"/>
          <w:szCs w:val="18"/>
        </w:rPr>
      </w:pPr>
    </w:p>
    <w:p w14:paraId="5A18FA2E" w14:textId="77777777" w:rsidR="009429D2" w:rsidRPr="00EB4FA2" w:rsidRDefault="009429D2" w:rsidP="251BE3F0">
      <w:pPr>
        <w:rPr>
          <w:sz w:val="18"/>
          <w:szCs w:val="18"/>
        </w:rPr>
      </w:pPr>
    </w:p>
    <w:p w14:paraId="5445EFE5" w14:textId="77777777" w:rsidR="009429D2" w:rsidRPr="00EB4FA2" w:rsidRDefault="009429D2" w:rsidP="251BE3F0">
      <w:pPr>
        <w:rPr>
          <w:sz w:val="18"/>
          <w:szCs w:val="18"/>
        </w:rPr>
      </w:pPr>
    </w:p>
    <w:p w14:paraId="1BB44AA3" w14:textId="77777777" w:rsidR="009429D2" w:rsidRPr="00EB4FA2" w:rsidRDefault="009429D2" w:rsidP="251BE3F0">
      <w:pPr>
        <w:rPr>
          <w:sz w:val="18"/>
          <w:szCs w:val="18"/>
        </w:rPr>
      </w:pPr>
    </w:p>
    <w:p w14:paraId="0E31D3D8" w14:textId="77777777" w:rsidR="009429D2" w:rsidRPr="00EB4FA2" w:rsidRDefault="009429D2" w:rsidP="251BE3F0">
      <w:pPr>
        <w:rPr>
          <w:sz w:val="18"/>
          <w:szCs w:val="18"/>
        </w:rPr>
      </w:pPr>
    </w:p>
    <w:p w14:paraId="05C2702D" w14:textId="77777777" w:rsidR="009429D2" w:rsidRPr="00EB4FA2" w:rsidRDefault="009429D2" w:rsidP="251BE3F0">
      <w:pPr>
        <w:rPr>
          <w:sz w:val="18"/>
          <w:szCs w:val="18"/>
        </w:rPr>
      </w:pPr>
    </w:p>
    <w:p w14:paraId="7725A445" w14:textId="77777777" w:rsidR="009429D2" w:rsidRPr="00EB4FA2" w:rsidRDefault="009429D2" w:rsidP="251BE3F0">
      <w:pPr>
        <w:rPr>
          <w:sz w:val="18"/>
          <w:szCs w:val="18"/>
        </w:rPr>
      </w:pPr>
    </w:p>
    <w:p w14:paraId="485C00EA" w14:textId="77777777" w:rsidR="00536066" w:rsidRDefault="00536066" w:rsidP="251BE3F0">
      <w:pPr>
        <w:rPr>
          <w:sz w:val="18"/>
          <w:szCs w:val="18"/>
        </w:rPr>
      </w:pPr>
    </w:p>
    <w:p w14:paraId="43085381" w14:textId="77777777" w:rsidR="00536066" w:rsidRDefault="00536066" w:rsidP="251BE3F0">
      <w:pPr>
        <w:rPr>
          <w:sz w:val="18"/>
          <w:szCs w:val="18"/>
        </w:rPr>
      </w:pPr>
    </w:p>
    <w:p w14:paraId="35C9FF38" w14:textId="77777777" w:rsidR="00536066" w:rsidRDefault="00536066" w:rsidP="251BE3F0">
      <w:pPr>
        <w:rPr>
          <w:sz w:val="18"/>
          <w:szCs w:val="18"/>
        </w:rPr>
      </w:pPr>
    </w:p>
    <w:p w14:paraId="753081F8" w14:textId="77777777" w:rsidR="00536066" w:rsidRPr="00EB4FA2" w:rsidRDefault="00536066" w:rsidP="251BE3F0">
      <w:pPr>
        <w:rPr>
          <w:sz w:val="18"/>
          <w:szCs w:val="18"/>
        </w:rPr>
      </w:pPr>
    </w:p>
    <w:p w14:paraId="53B51037" w14:textId="77777777" w:rsidR="009429D2" w:rsidRPr="00EB4FA2" w:rsidRDefault="009429D2" w:rsidP="251BE3F0">
      <w:pPr>
        <w:rPr>
          <w:sz w:val="18"/>
          <w:szCs w:val="18"/>
        </w:rPr>
      </w:pPr>
    </w:p>
    <w:p w14:paraId="3B8C5072" w14:textId="77777777" w:rsidR="00375F5E" w:rsidRPr="00EB4FA2" w:rsidRDefault="454DE0F2" w:rsidP="00947AA1">
      <w:pPr>
        <w:pStyle w:val="1Section"/>
        <w:numPr>
          <w:ilvl w:val="0"/>
          <w:numId w:val="37"/>
        </w:numPr>
        <w:spacing w:line="276" w:lineRule="auto"/>
        <w:ind w:left="450" w:hanging="360"/>
      </w:pPr>
      <w:bookmarkStart w:id="0" w:name="_Toc180487568"/>
      <w:bookmarkStart w:id="1" w:name="_Toc180487569"/>
      <w:bookmarkStart w:id="2" w:name="_Toc180487570"/>
      <w:bookmarkStart w:id="3" w:name="_Toc180487571"/>
      <w:bookmarkStart w:id="4" w:name="_Toc180487572"/>
      <w:bookmarkStart w:id="5" w:name="_Toc180487573"/>
      <w:bookmarkStart w:id="6" w:name="_Toc180487574"/>
      <w:bookmarkStart w:id="7" w:name="_Toc180487575"/>
      <w:bookmarkStart w:id="8" w:name="_Toc180487576"/>
      <w:bookmarkStart w:id="9" w:name="_Toc180487577"/>
      <w:bookmarkStart w:id="10" w:name="_Toc180487578"/>
      <w:bookmarkStart w:id="11" w:name="_TOC_250045"/>
      <w:bookmarkStart w:id="12" w:name="_Toc1732874216"/>
      <w:bookmarkStart w:id="13" w:name="_Toc189212088"/>
      <w:bookmarkEnd w:id="0"/>
      <w:bookmarkEnd w:id="1"/>
      <w:bookmarkEnd w:id="2"/>
      <w:bookmarkEnd w:id="3"/>
      <w:bookmarkEnd w:id="4"/>
      <w:bookmarkEnd w:id="5"/>
      <w:bookmarkEnd w:id="6"/>
      <w:bookmarkEnd w:id="7"/>
      <w:bookmarkEnd w:id="8"/>
      <w:bookmarkEnd w:id="9"/>
      <w:bookmarkEnd w:id="10"/>
      <w:bookmarkEnd w:id="11"/>
      <w:r w:rsidRPr="00EB4FA2">
        <w:t>BACKGROUND</w:t>
      </w:r>
      <w:bookmarkEnd w:id="12"/>
      <w:bookmarkEnd w:id="13"/>
    </w:p>
    <w:p w14:paraId="10F6E688" w14:textId="77777777" w:rsidR="00375F5E" w:rsidRPr="00EB4FA2" w:rsidRDefault="00375F5E" w:rsidP="251BE3F0">
      <w:pPr>
        <w:pStyle w:val="BodyText"/>
        <w:rPr>
          <w:rFonts w:ascii="Arial"/>
          <w:b/>
          <w:bCs/>
          <w:sz w:val="24"/>
          <w:szCs w:val="24"/>
          <w:lang w:val="en-ZA"/>
        </w:rPr>
      </w:pPr>
    </w:p>
    <w:p w14:paraId="6AF69CF6" w14:textId="77777777" w:rsidR="00375F5E" w:rsidRPr="00EB4FA2" w:rsidRDefault="454DE0F2">
      <w:pPr>
        <w:pStyle w:val="Heading3"/>
        <w:numPr>
          <w:ilvl w:val="1"/>
          <w:numId w:val="37"/>
        </w:numPr>
        <w:tabs>
          <w:tab w:val="left" w:pos="961"/>
        </w:tabs>
        <w:spacing w:before="198"/>
        <w:rPr>
          <w:lang w:val="en-ZA"/>
        </w:rPr>
      </w:pPr>
      <w:bookmarkStart w:id="14" w:name="_TOC_250044"/>
      <w:bookmarkStart w:id="15" w:name="_Toc2046063548"/>
      <w:bookmarkStart w:id="16" w:name="_Toc189212089"/>
      <w:r w:rsidRPr="00EB4FA2">
        <w:rPr>
          <w:spacing w:val="-1"/>
          <w:lang w:val="en-ZA"/>
        </w:rPr>
        <w:t>PROCESS</w:t>
      </w:r>
      <w:r w:rsidRPr="00EB4FA2">
        <w:rPr>
          <w:spacing w:val="-12"/>
          <w:lang w:val="en-ZA"/>
        </w:rPr>
        <w:t xml:space="preserve"> </w:t>
      </w:r>
      <w:r w:rsidRPr="00EB4FA2">
        <w:rPr>
          <w:spacing w:val="-1"/>
          <w:lang w:val="en-ZA"/>
        </w:rPr>
        <w:t>AND</w:t>
      </w:r>
      <w:r w:rsidRPr="00EB4FA2">
        <w:rPr>
          <w:spacing w:val="-12"/>
          <w:lang w:val="en-ZA"/>
        </w:rPr>
        <w:t xml:space="preserve"> </w:t>
      </w:r>
      <w:r w:rsidRPr="00EB4FA2">
        <w:rPr>
          <w:spacing w:val="-1"/>
          <w:lang w:val="en-ZA"/>
        </w:rPr>
        <w:t>PUBLIC</w:t>
      </w:r>
      <w:r w:rsidRPr="00EB4FA2">
        <w:rPr>
          <w:spacing w:val="-11"/>
          <w:lang w:val="en-ZA"/>
        </w:rPr>
        <w:t xml:space="preserve"> </w:t>
      </w:r>
      <w:bookmarkEnd w:id="14"/>
      <w:r w:rsidRPr="00EB4FA2">
        <w:rPr>
          <w:lang w:val="en-ZA"/>
        </w:rPr>
        <w:t>COMMENTS</w:t>
      </w:r>
      <w:bookmarkEnd w:id="15"/>
      <w:bookmarkEnd w:id="16"/>
    </w:p>
    <w:p w14:paraId="3E9188DC" w14:textId="5FCB4FAC" w:rsidR="00A136B7" w:rsidRPr="00EB4FA2" w:rsidRDefault="00A136B7" w:rsidP="00403DF5">
      <w:pPr>
        <w:pStyle w:val="BodyText"/>
        <w:spacing w:line="271" w:lineRule="auto"/>
        <w:ind w:right="152"/>
        <w:jc w:val="both"/>
        <w:rPr>
          <w:lang w:val="en-ZA"/>
        </w:rPr>
      </w:pPr>
    </w:p>
    <w:p w14:paraId="4F6463E4" w14:textId="76193642" w:rsidR="00A136B7" w:rsidRPr="003F111D" w:rsidRDefault="3156D2EE" w:rsidP="5BCFEF27">
      <w:pPr>
        <w:pStyle w:val="BodyText"/>
        <w:spacing w:line="271" w:lineRule="auto"/>
        <w:ind w:left="831" w:right="152"/>
        <w:jc w:val="both"/>
        <w:rPr>
          <w:rFonts w:ascii="Arial" w:hAnsi="Arial" w:cs="Arial"/>
          <w:sz w:val="22"/>
          <w:szCs w:val="22"/>
          <w:lang w:val="en-ZA"/>
        </w:rPr>
      </w:pPr>
      <w:r w:rsidRPr="003F111D">
        <w:rPr>
          <w:rFonts w:ascii="Arial" w:hAnsi="Arial" w:cs="Arial"/>
          <w:sz w:val="22"/>
          <w:szCs w:val="22"/>
          <w:lang w:val="en-ZA"/>
        </w:rPr>
        <w:t xml:space="preserve">The National Treasury and </w:t>
      </w:r>
      <w:r w:rsidR="3C6F03E9" w:rsidRPr="003F111D">
        <w:rPr>
          <w:rFonts w:ascii="Arial" w:hAnsi="Arial" w:cs="Arial"/>
          <w:sz w:val="22"/>
          <w:szCs w:val="22"/>
          <w:lang w:val="en-ZA"/>
        </w:rPr>
        <w:t>South African Revenue Service (</w:t>
      </w:r>
      <w:r w:rsidRPr="003F111D">
        <w:rPr>
          <w:rFonts w:ascii="Arial" w:hAnsi="Arial" w:cs="Arial"/>
          <w:sz w:val="22"/>
          <w:szCs w:val="22"/>
          <w:lang w:val="en-ZA"/>
        </w:rPr>
        <w:t>SARS</w:t>
      </w:r>
      <w:r w:rsidR="44052C2E" w:rsidRPr="003F111D">
        <w:rPr>
          <w:rFonts w:ascii="Arial" w:hAnsi="Arial" w:cs="Arial"/>
          <w:sz w:val="22"/>
          <w:szCs w:val="22"/>
          <w:lang w:val="en-ZA"/>
        </w:rPr>
        <w:t>)</w:t>
      </w:r>
      <w:r w:rsidRPr="003F111D">
        <w:rPr>
          <w:rFonts w:ascii="Arial" w:hAnsi="Arial" w:cs="Arial"/>
          <w:sz w:val="22"/>
          <w:szCs w:val="22"/>
          <w:lang w:val="en-ZA"/>
        </w:rPr>
        <w:t xml:space="preserve"> published the 2024 Draft Revenue Laws Amendment Bill </w:t>
      </w:r>
      <w:r w:rsidR="5E9BC806" w:rsidRPr="003F111D">
        <w:rPr>
          <w:rFonts w:ascii="Arial" w:hAnsi="Arial" w:cs="Arial"/>
          <w:sz w:val="22"/>
          <w:szCs w:val="22"/>
          <w:lang w:val="en-ZA"/>
        </w:rPr>
        <w:t xml:space="preserve">(RLAB) </w:t>
      </w:r>
      <w:r w:rsidRPr="003F111D">
        <w:rPr>
          <w:rFonts w:ascii="Arial" w:hAnsi="Arial" w:cs="Arial"/>
          <w:sz w:val="22"/>
          <w:szCs w:val="22"/>
          <w:lang w:val="en-ZA"/>
        </w:rPr>
        <w:t>on 21 February 2024 for public comment. Public workshops were held on 6 and 7 June 2024 to discuss the comments submitted. After soliciting comments, it was published again on 1 August 2024. The second round of public workshop</w:t>
      </w:r>
      <w:r w:rsidR="0FAD1115" w:rsidRPr="003F111D">
        <w:rPr>
          <w:rFonts w:ascii="Arial" w:hAnsi="Arial" w:cs="Arial"/>
          <w:sz w:val="22"/>
          <w:szCs w:val="22"/>
          <w:lang w:val="en-ZA"/>
        </w:rPr>
        <w:t>s</w:t>
      </w:r>
      <w:r w:rsidRPr="003F111D">
        <w:rPr>
          <w:rFonts w:ascii="Arial" w:hAnsi="Arial" w:cs="Arial"/>
          <w:sz w:val="22"/>
          <w:szCs w:val="22"/>
          <w:lang w:val="en-ZA"/>
        </w:rPr>
        <w:t xml:space="preserve"> was held on 6 September 2024.  </w:t>
      </w:r>
    </w:p>
    <w:p w14:paraId="386C69EA" w14:textId="33C12686" w:rsidR="00A136B7" w:rsidRPr="003F111D" w:rsidRDefault="00A136B7" w:rsidP="006B0560">
      <w:pPr>
        <w:pStyle w:val="BodyText"/>
        <w:spacing w:line="271" w:lineRule="auto"/>
        <w:ind w:left="831" w:right="152"/>
        <w:jc w:val="both"/>
        <w:rPr>
          <w:rFonts w:ascii="Arial" w:hAnsi="Arial" w:cs="Arial"/>
          <w:sz w:val="22"/>
          <w:szCs w:val="22"/>
          <w:lang w:val="en-ZA"/>
        </w:rPr>
      </w:pPr>
    </w:p>
    <w:p w14:paraId="67E76822" w14:textId="6A77A9A6" w:rsidR="00A136B7" w:rsidRPr="003F111D" w:rsidRDefault="3156D2EE" w:rsidP="5BCFEF27">
      <w:pPr>
        <w:pStyle w:val="BodyText"/>
        <w:spacing w:line="271" w:lineRule="auto"/>
        <w:ind w:left="831" w:right="152"/>
        <w:jc w:val="both"/>
        <w:rPr>
          <w:rFonts w:ascii="Arial" w:hAnsi="Arial" w:cs="Arial"/>
          <w:sz w:val="22"/>
          <w:szCs w:val="22"/>
          <w:lang w:val="en-ZA"/>
        </w:rPr>
      </w:pPr>
      <w:r w:rsidRPr="003F111D">
        <w:rPr>
          <w:rFonts w:ascii="Arial" w:hAnsi="Arial" w:cs="Arial"/>
          <w:sz w:val="22"/>
          <w:szCs w:val="22"/>
          <w:lang w:val="en-ZA"/>
        </w:rPr>
        <w:t xml:space="preserve">The 2024 Draft </w:t>
      </w:r>
      <w:r w:rsidR="4E6DDC80" w:rsidRPr="003F111D">
        <w:rPr>
          <w:rFonts w:ascii="Arial" w:hAnsi="Arial" w:cs="Arial"/>
          <w:sz w:val="22"/>
          <w:szCs w:val="22"/>
          <w:lang w:val="en-ZA"/>
        </w:rPr>
        <w:t>Rates and Monetary Amounts and Amendment of Revenue Laws Bill (</w:t>
      </w:r>
      <w:r w:rsidRPr="003F111D">
        <w:rPr>
          <w:rFonts w:ascii="Arial" w:hAnsi="Arial" w:cs="Arial"/>
          <w:sz w:val="22"/>
          <w:szCs w:val="22"/>
          <w:lang w:val="en-ZA"/>
        </w:rPr>
        <w:t>Rates Bill</w:t>
      </w:r>
      <w:r w:rsidR="68F336C6" w:rsidRPr="003F111D">
        <w:rPr>
          <w:rFonts w:ascii="Arial" w:hAnsi="Arial" w:cs="Arial"/>
          <w:sz w:val="22"/>
          <w:szCs w:val="22"/>
          <w:lang w:val="en-ZA"/>
        </w:rPr>
        <w:t>)</w:t>
      </w:r>
      <w:r w:rsidRPr="003F111D">
        <w:rPr>
          <w:rFonts w:ascii="Arial" w:hAnsi="Arial" w:cs="Arial"/>
          <w:sz w:val="22"/>
          <w:szCs w:val="22"/>
          <w:lang w:val="en-ZA"/>
        </w:rPr>
        <w:t xml:space="preserve"> contains announcements made in Chapter 4 and Annexure C of the 2024 Budget Review that deal with the increase of excise duties and carbon tax. </w:t>
      </w:r>
      <w:r w:rsidR="2989B567" w:rsidRPr="003F111D">
        <w:rPr>
          <w:rFonts w:ascii="Arial" w:hAnsi="Arial" w:cs="Arial"/>
          <w:sz w:val="22"/>
          <w:szCs w:val="22"/>
          <w:lang w:val="en-ZA"/>
        </w:rPr>
        <w:t xml:space="preserve">Public workshops were held on 6 and 7 June 2024 to discuss the comments submitted.  </w:t>
      </w:r>
    </w:p>
    <w:p w14:paraId="6CCF4235" w14:textId="6C3DBCAC" w:rsidR="614C5DDA" w:rsidRPr="003F111D" w:rsidRDefault="614C5DDA" w:rsidP="614C5DDA">
      <w:pPr>
        <w:pStyle w:val="BodyText"/>
        <w:spacing w:line="271" w:lineRule="auto"/>
        <w:ind w:left="831" w:right="152"/>
        <w:jc w:val="both"/>
        <w:rPr>
          <w:rFonts w:ascii="Arial" w:hAnsi="Arial" w:cs="Arial"/>
          <w:sz w:val="22"/>
          <w:szCs w:val="22"/>
          <w:lang w:val="en-ZA"/>
        </w:rPr>
      </w:pPr>
    </w:p>
    <w:p w14:paraId="65A91F47" w14:textId="100881B1" w:rsidR="62D1B1EF" w:rsidRPr="003F111D" w:rsidRDefault="03AE548A" w:rsidP="09371242">
      <w:pPr>
        <w:pStyle w:val="BodyText"/>
        <w:spacing w:line="271" w:lineRule="auto"/>
        <w:ind w:left="831" w:right="152"/>
        <w:jc w:val="both"/>
        <w:rPr>
          <w:rFonts w:ascii="Arial" w:hAnsi="Arial" w:cs="Arial"/>
          <w:sz w:val="22"/>
          <w:szCs w:val="22"/>
          <w:lang w:val="en-ZA"/>
        </w:rPr>
      </w:pPr>
      <w:r w:rsidRPr="003F111D">
        <w:rPr>
          <w:rFonts w:ascii="Arial" w:hAnsi="Arial" w:cs="Arial"/>
          <w:sz w:val="22"/>
          <w:szCs w:val="22"/>
          <w:lang w:val="en-ZA"/>
        </w:rPr>
        <w:t>The 2024 Draft T</w:t>
      </w:r>
      <w:r w:rsidR="2D5B068C" w:rsidRPr="003F111D">
        <w:rPr>
          <w:rFonts w:ascii="Arial" w:hAnsi="Arial" w:cs="Arial"/>
          <w:sz w:val="22"/>
          <w:szCs w:val="22"/>
          <w:lang w:val="en-ZA"/>
        </w:rPr>
        <w:t xml:space="preserve">axation Laws </w:t>
      </w:r>
      <w:r w:rsidRPr="003F111D">
        <w:rPr>
          <w:rFonts w:ascii="Arial" w:hAnsi="Arial" w:cs="Arial"/>
          <w:sz w:val="22"/>
          <w:szCs w:val="22"/>
          <w:lang w:val="en-ZA"/>
        </w:rPr>
        <w:t>A</w:t>
      </w:r>
      <w:r w:rsidR="2703C661" w:rsidRPr="003F111D">
        <w:rPr>
          <w:rFonts w:ascii="Arial" w:hAnsi="Arial" w:cs="Arial"/>
          <w:sz w:val="22"/>
          <w:szCs w:val="22"/>
          <w:lang w:val="en-ZA"/>
        </w:rPr>
        <w:t xml:space="preserve">mendment </w:t>
      </w:r>
      <w:r w:rsidRPr="003F111D">
        <w:rPr>
          <w:rFonts w:ascii="Arial" w:hAnsi="Arial" w:cs="Arial"/>
          <w:sz w:val="22"/>
          <w:szCs w:val="22"/>
          <w:lang w:val="en-ZA"/>
        </w:rPr>
        <w:t>B</w:t>
      </w:r>
      <w:r w:rsidR="66891753" w:rsidRPr="003F111D">
        <w:rPr>
          <w:rFonts w:ascii="Arial" w:hAnsi="Arial" w:cs="Arial"/>
          <w:sz w:val="22"/>
          <w:szCs w:val="22"/>
          <w:lang w:val="en-ZA"/>
        </w:rPr>
        <w:t>ill (TLAB)</w:t>
      </w:r>
      <w:r w:rsidRPr="003F111D">
        <w:rPr>
          <w:rFonts w:ascii="Arial" w:hAnsi="Arial" w:cs="Arial"/>
          <w:sz w:val="22"/>
          <w:szCs w:val="22"/>
          <w:lang w:val="en-ZA"/>
        </w:rPr>
        <w:t xml:space="preserve"> and T</w:t>
      </w:r>
      <w:r w:rsidR="047991A9" w:rsidRPr="003F111D">
        <w:rPr>
          <w:rFonts w:ascii="Arial" w:hAnsi="Arial" w:cs="Arial"/>
          <w:sz w:val="22"/>
          <w:szCs w:val="22"/>
          <w:lang w:val="en-ZA"/>
        </w:rPr>
        <w:t xml:space="preserve">ax </w:t>
      </w:r>
      <w:r w:rsidRPr="003F111D">
        <w:rPr>
          <w:rFonts w:ascii="Arial" w:hAnsi="Arial" w:cs="Arial"/>
          <w:sz w:val="22"/>
          <w:szCs w:val="22"/>
          <w:lang w:val="en-ZA"/>
        </w:rPr>
        <w:t>A</w:t>
      </w:r>
      <w:r w:rsidR="2D2BACBA" w:rsidRPr="003F111D">
        <w:rPr>
          <w:rFonts w:ascii="Arial" w:hAnsi="Arial" w:cs="Arial"/>
          <w:sz w:val="22"/>
          <w:szCs w:val="22"/>
          <w:lang w:val="en-ZA"/>
        </w:rPr>
        <w:t xml:space="preserve">dministration </w:t>
      </w:r>
      <w:r w:rsidRPr="003F111D">
        <w:rPr>
          <w:rFonts w:ascii="Arial" w:hAnsi="Arial" w:cs="Arial"/>
          <w:sz w:val="22"/>
          <w:szCs w:val="22"/>
          <w:lang w:val="en-ZA"/>
        </w:rPr>
        <w:t>L</w:t>
      </w:r>
      <w:r w:rsidR="122AFCD2" w:rsidRPr="003F111D">
        <w:rPr>
          <w:rFonts w:ascii="Arial" w:hAnsi="Arial" w:cs="Arial"/>
          <w:sz w:val="22"/>
          <w:szCs w:val="22"/>
          <w:lang w:val="en-ZA"/>
        </w:rPr>
        <w:t xml:space="preserve">aws </w:t>
      </w:r>
      <w:r w:rsidRPr="003F111D">
        <w:rPr>
          <w:rFonts w:ascii="Arial" w:hAnsi="Arial" w:cs="Arial"/>
          <w:sz w:val="22"/>
          <w:szCs w:val="22"/>
          <w:lang w:val="en-ZA"/>
        </w:rPr>
        <w:t>A</w:t>
      </w:r>
      <w:r w:rsidR="1712AFEB" w:rsidRPr="003F111D">
        <w:rPr>
          <w:rFonts w:ascii="Arial" w:hAnsi="Arial" w:cs="Arial"/>
          <w:sz w:val="22"/>
          <w:szCs w:val="22"/>
          <w:lang w:val="en-ZA"/>
        </w:rPr>
        <w:t xml:space="preserve">mendment </w:t>
      </w:r>
      <w:r w:rsidRPr="003F111D">
        <w:rPr>
          <w:rFonts w:ascii="Arial" w:hAnsi="Arial" w:cs="Arial"/>
          <w:sz w:val="22"/>
          <w:szCs w:val="22"/>
          <w:lang w:val="en-ZA"/>
        </w:rPr>
        <w:t>B</w:t>
      </w:r>
      <w:r w:rsidR="592F86C8" w:rsidRPr="003F111D">
        <w:rPr>
          <w:rFonts w:ascii="Arial" w:hAnsi="Arial" w:cs="Arial"/>
          <w:sz w:val="22"/>
          <w:szCs w:val="22"/>
          <w:lang w:val="en-ZA"/>
        </w:rPr>
        <w:t>ill (TALAB)</w:t>
      </w:r>
      <w:r w:rsidRPr="003F111D">
        <w:rPr>
          <w:rFonts w:ascii="Arial" w:hAnsi="Arial" w:cs="Arial"/>
          <w:sz w:val="22"/>
          <w:szCs w:val="22"/>
          <w:lang w:val="en-ZA"/>
        </w:rPr>
        <w:t xml:space="preserve"> were published for public comment on 1 August 2024.</w:t>
      </w:r>
      <w:r w:rsidR="479C5CB6" w:rsidRPr="003F111D">
        <w:rPr>
          <w:rFonts w:ascii="Arial" w:hAnsi="Arial" w:cs="Arial"/>
          <w:sz w:val="22"/>
          <w:szCs w:val="22"/>
          <w:lang w:val="en-ZA"/>
        </w:rPr>
        <w:t xml:space="preserve"> The closing date for all public comments on the 2024 Draft TLAB and 2024 Draft TALAB was 31 August 2024.</w:t>
      </w:r>
      <w:r w:rsidRPr="003F111D">
        <w:rPr>
          <w:rFonts w:ascii="Arial" w:hAnsi="Arial" w:cs="Arial"/>
          <w:sz w:val="22"/>
          <w:szCs w:val="22"/>
          <w:lang w:val="en-ZA"/>
        </w:rPr>
        <w:t xml:space="preserve"> The Public workshops on the comments received were held on 12 and 13 of September 2024. These draft bills contain the remainder of the tax announcements made in Chapter 4 and Annexure C of the 2024 Budget Review, which are legislatively more complicated and require greater consultation with the public.</w:t>
      </w:r>
    </w:p>
    <w:p w14:paraId="199D25A4" w14:textId="0B9610BA" w:rsidR="00A136B7" w:rsidRPr="003F111D" w:rsidRDefault="00A136B7" w:rsidP="6BF0EF6B">
      <w:pPr>
        <w:pStyle w:val="BodyText"/>
        <w:spacing w:line="271" w:lineRule="auto"/>
        <w:ind w:left="831" w:right="152"/>
        <w:jc w:val="both"/>
        <w:rPr>
          <w:rFonts w:ascii="Arial" w:hAnsi="Arial" w:cs="Arial"/>
          <w:sz w:val="22"/>
          <w:szCs w:val="22"/>
          <w:lang w:val="en-ZA"/>
        </w:rPr>
      </w:pPr>
    </w:p>
    <w:p w14:paraId="5FF29981" w14:textId="6FF0B428" w:rsidR="00A136B7" w:rsidRPr="003F111D" w:rsidRDefault="61CA20B7" w:rsidP="6BF0EF6B">
      <w:pPr>
        <w:pStyle w:val="BodyText"/>
        <w:spacing w:line="271" w:lineRule="auto"/>
        <w:ind w:left="831" w:right="152"/>
        <w:jc w:val="both"/>
        <w:rPr>
          <w:rFonts w:ascii="Arial" w:hAnsi="Arial" w:cs="Arial"/>
          <w:sz w:val="22"/>
          <w:szCs w:val="22"/>
          <w:lang w:val="en-ZA"/>
        </w:rPr>
      </w:pPr>
      <w:r w:rsidRPr="003F111D">
        <w:rPr>
          <w:rFonts w:ascii="Arial" w:hAnsi="Arial" w:cs="Arial"/>
          <w:sz w:val="22"/>
          <w:szCs w:val="22"/>
          <w:lang w:val="en-ZA"/>
        </w:rPr>
        <w:t>The National Treasury and SARS published the Global Minimum Tax Bill and Global Minimum Tax Administration Bill on 21 February 2024 for public comment. Public workshops were held on 6 and 7 June 2024 to discuss the comments submitted.</w:t>
      </w:r>
    </w:p>
    <w:p w14:paraId="0F849812" w14:textId="5846E4CF" w:rsidR="00375F5E" w:rsidRPr="003F111D" w:rsidRDefault="00375F5E" w:rsidP="6BF0EF6B">
      <w:pPr>
        <w:pStyle w:val="BodyText"/>
        <w:spacing w:line="271" w:lineRule="auto"/>
        <w:ind w:left="831" w:right="152"/>
        <w:jc w:val="both"/>
        <w:rPr>
          <w:rFonts w:ascii="Arial" w:hAnsi="Arial" w:cs="Arial"/>
          <w:sz w:val="22"/>
          <w:szCs w:val="22"/>
          <w:lang w:val="en-ZA"/>
        </w:rPr>
      </w:pPr>
    </w:p>
    <w:p w14:paraId="4F1926AB" w14:textId="5911A406" w:rsidR="00A136B7" w:rsidRPr="003F111D" w:rsidRDefault="74231706" w:rsidP="00A136B7">
      <w:pPr>
        <w:pStyle w:val="BodyText"/>
        <w:spacing w:line="271" w:lineRule="auto"/>
        <w:ind w:left="831" w:right="152"/>
        <w:jc w:val="both"/>
        <w:rPr>
          <w:rFonts w:ascii="Arial" w:hAnsi="Arial" w:cs="Arial"/>
          <w:sz w:val="22"/>
          <w:szCs w:val="22"/>
          <w:lang w:val="en-ZA"/>
        </w:rPr>
      </w:pPr>
      <w:r w:rsidRPr="003F111D">
        <w:rPr>
          <w:rFonts w:ascii="Arial" w:hAnsi="Arial" w:cs="Arial"/>
          <w:sz w:val="22"/>
          <w:szCs w:val="22"/>
          <w:lang w:val="en-ZA"/>
        </w:rPr>
        <w:t xml:space="preserve">National Treasury and SARS received written comments from </w:t>
      </w:r>
      <w:r w:rsidR="00941B8C" w:rsidRPr="003F111D">
        <w:rPr>
          <w:rFonts w:ascii="Arial" w:hAnsi="Arial" w:cs="Arial"/>
          <w:sz w:val="22"/>
          <w:szCs w:val="22"/>
          <w:lang w:val="en-ZA"/>
        </w:rPr>
        <w:t>65</w:t>
      </w:r>
      <w:r w:rsidRPr="003F111D">
        <w:rPr>
          <w:rFonts w:ascii="Arial" w:hAnsi="Arial" w:cs="Arial"/>
          <w:sz w:val="22"/>
          <w:szCs w:val="22"/>
          <w:lang w:val="en-ZA"/>
        </w:rPr>
        <w:t xml:space="preserve"> organisations and</w:t>
      </w:r>
      <w:r w:rsidR="00941B8C" w:rsidRPr="00EB4FA2">
        <w:rPr>
          <w:rFonts w:ascii="Arial" w:hAnsi="Arial" w:cs="Arial"/>
          <w:sz w:val="22"/>
          <w:szCs w:val="22"/>
          <w:lang w:val="en-ZA"/>
        </w:rPr>
        <w:t xml:space="preserve"> 6</w:t>
      </w:r>
      <w:r w:rsidRPr="003F111D">
        <w:rPr>
          <w:rFonts w:ascii="Arial" w:hAnsi="Arial" w:cs="Arial"/>
          <w:sz w:val="22"/>
          <w:szCs w:val="22"/>
          <w:lang w:val="en-ZA"/>
        </w:rPr>
        <w:t xml:space="preserve"> individuals (list of commentators attached as Annexure </w:t>
      </w:r>
      <w:r w:rsidR="494D19A4" w:rsidRPr="003F111D">
        <w:rPr>
          <w:rFonts w:ascii="Arial" w:hAnsi="Arial" w:cs="Arial"/>
          <w:sz w:val="22"/>
          <w:szCs w:val="22"/>
          <w:lang w:val="en-ZA"/>
        </w:rPr>
        <w:t>A</w:t>
      </w:r>
      <w:r w:rsidRPr="003F111D">
        <w:rPr>
          <w:rFonts w:ascii="Arial" w:hAnsi="Arial" w:cs="Arial"/>
          <w:sz w:val="22"/>
          <w:szCs w:val="22"/>
          <w:lang w:val="en-ZA"/>
        </w:rPr>
        <w:t xml:space="preserve">). </w:t>
      </w:r>
    </w:p>
    <w:p w14:paraId="12ED450A" w14:textId="77777777" w:rsidR="00A136B7" w:rsidRPr="003F111D" w:rsidRDefault="00A136B7" w:rsidP="003F111D">
      <w:pPr>
        <w:pStyle w:val="BodyText"/>
        <w:spacing w:line="271" w:lineRule="auto"/>
        <w:ind w:left="831" w:right="152"/>
        <w:jc w:val="both"/>
        <w:rPr>
          <w:rFonts w:ascii="Arial" w:hAnsi="Arial" w:cs="Arial"/>
          <w:sz w:val="22"/>
          <w:szCs w:val="22"/>
          <w:lang w:val="en-ZA"/>
        </w:rPr>
      </w:pPr>
    </w:p>
    <w:p w14:paraId="6C299B7F" w14:textId="6D2E1ECF" w:rsidR="00A136B7" w:rsidRPr="003F111D" w:rsidRDefault="74231706" w:rsidP="00A136B7">
      <w:pPr>
        <w:pStyle w:val="BodyText"/>
        <w:spacing w:line="271" w:lineRule="auto"/>
        <w:ind w:left="831" w:right="152"/>
        <w:jc w:val="both"/>
        <w:rPr>
          <w:rFonts w:ascii="Arial" w:hAnsi="Arial" w:cs="Arial"/>
          <w:sz w:val="22"/>
          <w:szCs w:val="22"/>
          <w:lang w:val="en-ZA"/>
        </w:rPr>
      </w:pPr>
      <w:r w:rsidRPr="003F111D">
        <w:rPr>
          <w:rFonts w:ascii="Arial" w:hAnsi="Arial" w:cs="Arial"/>
          <w:sz w:val="22"/>
          <w:szCs w:val="22"/>
          <w:lang w:val="en-ZA"/>
        </w:rPr>
        <w:t xml:space="preserve">For legal reasons, the draft tax amendments continue to be split into two separate bills, namely, a money bill in terms of section 77 of the Constitution, dealing with money bill issues, for example, 2023 Draft TLAB and an ordinary bill in terms of section 75 of the Constitution, dealing with tax administration issues, for example 2023 Draft TALAB. </w:t>
      </w:r>
    </w:p>
    <w:p w14:paraId="6C7AE57A" w14:textId="5F86C08A" w:rsidR="5BCFEF27" w:rsidRPr="003F111D" w:rsidRDefault="5BCFEF27" w:rsidP="5BCFEF27">
      <w:pPr>
        <w:pStyle w:val="BodyText"/>
        <w:spacing w:line="271" w:lineRule="auto"/>
        <w:ind w:left="831" w:right="152"/>
        <w:jc w:val="both"/>
        <w:rPr>
          <w:rFonts w:ascii="Arial" w:hAnsi="Arial" w:cs="Arial"/>
          <w:sz w:val="22"/>
          <w:szCs w:val="22"/>
          <w:lang w:val="en-ZA"/>
        </w:rPr>
      </w:pPr>
    </w:p>
    <w:p w14:paraId="1238A6BD" w14:textId="7ACDD77C" w:rsidR="00A136B7" w:rsidRPr="003F111D" w:rsidRDefault="74231706" w:rsidP="00A136B7">
      <w:pPr>
        <w:pStyle w:val="BodyText"/>
        <w:spacing w:line="271" w:lineRule="auto"/>
        <w:ind w:left="831" w:right="152"/>
        <w:jc w:val="both"/>
        <w:rPr>
          <w:rFonts w:ascii="Arial" w:hAnsi="Arial" w:cs="Arial"/>
          <w:sz w:val="22"/>
          <w:szCs w:val="22"/>
          <w:lang w:val="en-ZA"/>
        </w:rPr>
      </w:pPr>
      <w:r w:rsidRPr="003F111D">
        <w:rPr>
          <w:rFonts w:ascii="Arial" w:hAnsi="Arial" w:cs="Arial"/>
          <w:sz w:val="22"/>
          <w:szCs w:val="22"/>
          <w:lang w:val="en-ZA"/>
        </w:rPr>
        <w:t>The National Treasury and SARS briefed the Standing Committee on Finance (SCoF) on the 202</w:t>
      </w:r>
      <w:r w:rsidR="2F3CA397" w:rsidRPr="003F111D">
        <w:rPr>
          <w:rFonts w:ascii="Arial" w:hAnsi="Arial" w:cs="Arial"/>
          <w:sz w:val="22"/>
          <w:szCs w:val="22"/>
          <w:lang w:val="en-ZA"/>
        </w:rPr>
        <w:t>4</w:t>
      </w:r>
      <w:r w:rsidRPr="003F111D">
        <w:rPr>
          <w:rFonts w:ascii="Arial" w:hAnsi="Arial" w:cs="Arial"/>
          <w:sz w:val="22"/>
          <w:szCs w:val="22"/>
          <w:lang w:val="en-ZA"/>
        </w:rPr>
        <w:t xml:space="preserve"> Draft </w:t>
      </w:r>
      <w:r w:rsidR="083ECCF5" w:rsidRPr="003F111D">
        <w:rPr>
          <w:rFonts w:ascii="Arial" w:hAnsi="Arial" w:cs="Arial"/>
          <w:sz w:val="22"/>
          <w:szCs w:val="22"/>
          <w:lang w:val="en-ZA"/>
        </w:rPr>
        <w:t xml:space="preserve">Tax Bills which </w:t>
      </w:r>
      <w:r w:rsidR="29DBBC6B" w:rsidRPr="003F111D">
        <w:rPr>
          <w:rFonts w:ascii="Arial" w:hAnsi="Arial" w:cs="Arial"/>
          <w:sz w:val="22"/>
          <w:szCs w:val="22"/>
          <w:lang w:val="en-ZA"/>
        </w:rPr>
        <w:t xml:space="preserve">are </w:t>
      </w:r>
      <w:r w:rsidR="595A17E1" w:rsidRPr="003F111D">
        <w:rPr>
          <w:rFonts w:ascii="Arial" w:hAnsi="Arial" w:cs="Arial"/>
          <w:sz w:val="22"/>
          <w:szCs w:val="22"/>
          <w:lang w:val="en-ZA"/>
        </w:rPr>
        <w:t xml:space="preserve">the </w:t>
      </w:r>
      <w:r w:rsidRPr="003F111D">
        <w:rPr>
          <w:rFonts w:ascii="Arial" w:hAnsi="Arial" w:cs="Arial"/>
          <w:sz w:val="22"/>
          <w:szCs w:val="22"/>
          <w:lang w:val="en-ZA"/>
        </w:rPr>
        <w:t>Rates Bill, 202</w:t>
      </w:r>
      <w:r w:rsidR="74C93241" w:rsidRPr="003F111D">
        <w:rPr>
          <w:rFonts w:ascii="Arial" w:hAnsi="Arial" w:cs="Arial"/>
          <w:sz w:val="22"/>
          <w:szCs w:val="22"/>
          <w:lang w:val="en-ZA"/>
        </w:rPr>
        <w:t>4</w:t>
      </w:r>
      <w:r w:rsidRPr="003F111D">
        <w:rPr>
          <w:rFonts w:ascii="Arial" w:hAnsi="Arial" w:cs="Arial"/>
          <w:sz w:val="22"/>
          <w:szCs w:val="22"/>
          <w:lang w:val="en-ZA"/>
        </w:rPr>
        <w:t xml:space="preserve"> Draft TLAB</w:t>
      </w:r>
      <w:r w:rsidR="4F5A11F0" w:rsidRPr="003F111D">
        <w:rPr>
          <w:rFonts w:ascii="Arial" w:hAnsi="Arial" w:cs="Arial"/>
          <w:sz w:val="22"/>
          <w:szCs w:val="22"/>
          <w:lang w:val="en-ZA"/>
        </w:rPr>
        <w:t>,</w:t>
      </w:r>
      <w:r w:rsidRPr="003F111D">
        <w:rPr>
          <w:rFonts w:ascii="Arial" w:hAnsi="Arial" w:cs="Arial"/>
          <w:sz w:val="22"/>
          <w:szCs w:val="22"/>
          <w:lang w:val="en-ZA"/>
        </w:rPr>
        <w:t xml:space="preserve"> 202</w:t>
      </w:r>
      <w:r w:rsidR="1E111983" w:rsidRPr="003F111D">
        <w:rPr>
          <w:rFonts w:ascii="Arial" w:hAnsi="Arial" w:cs="Arial"/>
          <w:sz w:val="22"/>
          <w:szCs w:val="22"/>
          <w:lang w:val="en-ZA"/>
        </w:rPr>
        <w:t>4</w:t>
      </w:r>
      <w:r w:rsidRPr="003F111D">
        <w:rPr>
          <w:rFonts w:ascii="Arial" w:hAnsi="Arial" w:cs="Arial"/>
          <w:sz w:val="22"/>
          <w:szCs w:val="22"/>
          <w:lang w:val="en-ZA"/>
        </w:rPr>
        <w:t xml:space="preserve"> TALAB</w:t>
      </w:r>
      <w:r w:rsidR="286410D2" w:rsidRPr="003F111D">
        <w:rPr>
          <w:rFonts w:ascii="Arial" w:hAnsi="Arial" w:cs="Arial"/>
          <w:sz w:val="22"/>
          <w:szCs w:val="22"/>
          <w:lang w:val="en-ZA"/>
        </w:rPr>
        <w:t>, Global Minimum Tax Bill and Global Minimum Tax Administration Bill</w:t>
      </w:r>
      <w:r w:rsidRPr="003F111D">
        <w:rPr>
          <w:rFonts w:ascii="Arial" w:hAnsi="Arial" w:cs="Arial"/>
          <w:sz w:val="22"/>
          <w:szCs w:val="22"/>
          <w:lang w:val="en-ZA"/>
        </w:rPr>
        <w:t xml:space="preserve"> on </w:t>
      </w:r>
      <w:r w:rsidR="579E7F04" w:rsidRPr="003F111D">
        <w:rPr>
          <w:rFonts w:ascii="Arial" w:hAnsi="Arial" w:cs="Arial"/>
          <w:sz w:val="22"/>
          <w:szCs w:val="22"/>
          <w:lang w:val="en-ZA"/>
        </w:rPr>
        <w:t>17</w:t>
      </w:r>
      <w:r w:rsidRPr="003F111D">
        <w:rPr>
          <w:rFonts w:ascii="Arial" w:hAnsi="Arial" w:cs="Arial"/>
          <w:sz w:val="22"/>
          <w:szCs w:val="22"/>
          <w:lang w:val="en-ZA"/>
        </w:rPr>
        <w:t xml:space="preserve"> </w:t>
      </w:r>
      <w:r w:rsidR="007C9378" w:rsidRPr="003F111D">
        <w:rPr>
          <w:rFonts w:ascii="Arial" w:hAnsi="Arial" w:cs="Arial"/>
          <w:sz w:val="22"/>
          <w:szCs w:val="22"/>
          <w:lang w:val="en-ZA"/>
        </w:rPr>
        <w:t>September</w:t>
      </w:r>
      <w:r w:rsidRPr="003F111D">
        <w:rPr>
          <w:rFonts w:ascii="Arial" w:hAnsi="Arial" w:cs="Arial"/>
          <w:sz w:val="22"/>
          <w:szCs w:val="22"/>
          <w:lang w:val="en-ZA"/>
        </w:rPr>
        <w:t xml:space="preserve"> 202</w:t>
      </w:r>
      <w:r w:rsidR="51FE650B" w:rsidRPr="003F111D">
        <w:rPr>
          <w:rFonts w:ascii="Arial" w:hAnsi="Arial" w:cs="Arial"/>
          <w:sz w:val="22"/>
          <w:szCs w:val="22"/>
          <w:lang w:val="en-ZA"/>
        </w:rPr>
        <w:t>4</w:t>
      </w:r>
      <w:r w:rsidRPr="003F111D">
        <w:rPr>
          <w:rFonts w:ascii="Arial" w:hAnsi="Arial" w:cs="Arial"/>
          <w:sz w:val="22"/>
          <w:szCs w:val="22"/>
          <w:lang w:val="en-ZA"/>
        </w:rPr>
        <w:t>.   Subsequently, oral presentations by taxpayers and tax advisors on the 202</w:t>
      </w:r>
      <w:r w:rsidR="6B3F48A6" w:rsidRPr="003F111D">
        <w:rPr>
          <w:rFonts w:ascii="Arial" w:hAnsi="Arial" w:cs="Arial"/>
          <w:sz w:val="22"/>
          <w:szCs w:val="22"/>
          <w:lang w:val="en-ZA"/>
        </w:rPr>
        <w:t>4</w:t>
      </w:r>
      <w:r w:rsidRPr="003F111D">
        <w:rPr>
          <w:rFonts w:ascii="Arial" w:hAnsi="Arial" w:cs="Arial"/>
          <w:sz w:val="22"/>
          <w:szCs w:val="22"/>
          <w:lang w:val="en-ZA"/>
        </w:rPr>
        <w:t xml:space="preserve"> Draft </w:t>
      </w:r>
      <w:r w:rsidR="34DC9F66" w:rsidRPr="003F111D">
        <w:rPr>
          <w:rFonts w:ascii="Arial" w:hAnsi="Arial" w:cs="Arial"/>
          <w:sz w:val="22"/>
          <w:szCs w:val="22"/>
          <w:lang w:val="en-ZA"/>
        </w:rPr>
        <w:t xml:space="preserve">Tax Bills </w:t>
      </w:r>
      <w:r w:rsidRPr="003F111D">
        <w:rPr>
          <w:rFonts w:ascii="Arial" w:hAnsi="Arial" w:cs="Arial"/>
          <w:sz w:val="22"/>
          <w:szCs w:val="22"/>
          <w:lang w:val="en-ZA"/>
        </w:rPr>
        <w:t xml:space="preserve">were made at hearings held by the SCoF on </w:t>
      </w:r>
      <w:r w:rsidR="0E39C1EB" w:rsidRPr="003F111D">
        <w:rPr>
          <w:rFonts w:ascii="Arial" w:hAnsi="Arial" w:cs="Arial"/>
          <w:sz w:val="22"/>
          <w:szCs w:val="22"/>
          <w:lang w:val="en-ZA"/>
        </w:rPr>
        <w:t xml:space="preserve">8 and 9 October </w:t>
      </w:r>
      <w:r w:rsidRPr="003F111D">
        <w:rPr>
          <w:rFonts w:ascii="Arial" w:hAnsi="Arial" w:cs="Arial"/>
          <w:sz w:val="22"/>
          <w:szCs w:val="22"/>
          <w:lang w:val="en-ZA"/>
        </w:rPr>
        <w:t>202</w:t>
      </w:r>
      <w:r w:rsidR="3A27DA0F" w:rsidRPr="003F111D">
        <w:rPr>
          <w:rFonts w:ascii="Arial" w:hAnsi="Arial" w:cs="Arial"/>
          <w:sz w:val="22"/>
          <w:szCs w:val="22"/>
          <w:lang w:val="en-ZA"/>
        </w:rPr>
        <w:t>4</w:t>
      </w:r>
      <w:r w:rsidRPr="003F111D">
        <w:rPr>
          <w:rFonts w:ascii="Arial" w:hAnsi="Arial" w:cs="Arial"/>
          <w:sz w:val="22"/>
          <w:szCs w:val="22"/>
          <w:lang w:val="en-ZA"/>
        </w:rPr>
        <w:t xml:space="preserve">. </w:t>
      </w:r>
    </w:p>
    <w:p w14:paraId="226153D7" w14:textId="77777777" w:rsidR="00A136B7" w:rsidRPr="003F111D" w:rsidRDefault="00A136B7" w:rsidP="00A136B7">
      <w:pPr>
        <w:pStyle w:val="BodyText"/>
        <w:spacing w:line="271" w:lineRule="auto"/>
        <w:ind w:left="831" w:right="152"/>
        <w:jc w:val="both"/>
        <w:rPr>
          <w:rFonts w:ascii="Arial" w:hAnsi="Arial" w:cs="Arial"/>
          <w:sz w:val="22"/>
          <w:szCs w:val="22"/>
          <w:lang w:val="en-ZA"/>
        </w:rPr>
      </w:pPr>
    </w:p>
    <w:p w14:paraId="0ADA14E8" w14:textId="35B5C01B" w:rsidR="00A136B7" w:rsidRPr="003F111D" w:rsidRDefault="74231706" w:rsidP="00A136B7">
      <w:pPr>
        <w:pStyle w:val="BodyText"/>
        <w:spacing w:line="271" w:lineRule="auto"/>
        <w:ind w:left="831" w:right="152"/>
        <w:jc w:val="both"/>
        <w:rPr>
          <w:rFonts w:ascii="Arial" w:hAnsi="Arial" w:cs="Arial"/>
          <w:sz w:val="22"/>
          <w:szCs w:val="22"/>
          <w:lang w:val="en-ZA"/>
        </w:rPr>
      </w:pPr>
      <w:r w:rsidRPr="003F111D">
        <w:rPr>
          <w:rFonts w:ascii="Arial" w:hAnsi="Arial" w:cs="Arial"/>
          <w:sz w:val="22"/>
          <w:szCs w:val="22"/>
          <w:lang w:val="en-ZA"/>
        </w:rPr>
        <w:t xml:space="preserve">Today, on </w:t>
      </w:r>
      <w:r w:rsidR="0BA5B6FA" w:rsidRPr="003F111D">
        <w:rPr>
          <w:rFonts w:ascii="Arial" w:hAnsi="Arial" w:cs="Arial"/>
          <w:sz w:val="22"/>
          <w:szCs w:val="22"/>
          <w:lang w:val="en-ZA"/>
        </w:rPr>
        <w:t>23</w:t>
      </w:r>
      <w:r w:rsidRPr="003F111D">
        <w:rPr>
          <w:rFonts w:ascii="Arial" w:hAnsi="Arial" w:cs="Arial"/>
          <w:sz w:val="22"/>
          <w:szCs w:val="22"/>
          <w:lang w:val="en-ZA"/>
        </w:rPr>
        <w:t xml:space="preserve"> October 202</w:t>
      </w:r>
      <w:r w:rsidR="7911CB7C" w:rsidRPr="003F111D">
        <w:rPr>
          <w:rFonts w:ascii="Arial" w:hAnsi="Arial" w:cs="Arial"/>
          <w:sz w:val="22"/>
          <w:szCs w:val="22"/>
          <w:lang w:val="en-ZA"/>
        </w:rPr>
        <w:t>4</w:t>
      </w:r>
      <w:r w:rsidRPr="003F111D">
        <w:rPr>
          <w:rFonts w:ascii="Arial" w:hAnsi="Arial" w:cs="Arial"/>
          <w:sz w:val="22"/>
          <w:szCs w:val="22"/>
          <w:lang w:val="en-ZA"/>
        </w:rPr>
        <w:t>, National Treasury and SARS present to the SCoF the Draft Response Document on the 202</w:t>
      </w:r>
      <w:r w:rsidR="4586977A" w:rsidRPr="003F111D">
        <w:rPr>
          <w:rFonts w:ascii="Arial" w:hAnsi="Arial" w:cs="Arial"/>
          <w:sz w:val="22"/>
          <w:szCs w:val="22"/>
          <w:lang w:val="en-ZA"/>
        </w:rPr>
        <w:t>4</w:t>
      </w:r>
      <w:r w:rsidRPr="003F111D">
        <w:rPr>
          <w:rFonts w:ascii="Arial" w:hAnsi="Arial" w:cs="Arial"/>
          <w:sz w:val="22"/>
          <w:szCs w:val="22"/>
          <w:lang w:val="en-ZA"/>
        </w:rPr>
        <w:t xml:space="preserve"> Draft Revenue Laws Amendment Bill, 202</w:t>
      </w:r>
      <w:r w:rsidR="7D83A07E" w:rsidRPr="003F111D">
        <w:rPr>
          <w:rFonts w:ascii="Arial" w:hAnsi="Arial" w:cs="Arial"/>
          <w:sz w:val="22"/>
          <w:szCs w:val="22"/>
          <w:lang w:val="en-ZA"/>
        </w:rPr>
        <w:t>4</w:t>
      </w:r>
      <w:r w:rsidRPr="003F111D">
        <w:rPr>
          <w:rFonts w:ascii="Arial" w:hAnsi="Arial" w:cs="Arial"/>
          <w:sz w:val="22"/>
          <w:szCs w:val="22"/>
          <w:lang w:val="en-ZA"/>
        </w:rPr>
        <w:t xml:space="preserve"> Draft </w:t>
      </w:r>
      <w:r w:rsidR="0BF51CF5" w:rsidRPr="003F111D">
        <w:rPr>
          <w:rFonts w:ascii="Arial" w:hAnsi="Arial" w:cs="Arial"/>
          <w:sz w:val="22"/>
          <w:szCs w:val="22"/>
          <w:lang w:val="en-ZA"/>
        </w:rPr>
        <w:t>Rates Bill, 202</w:t>
      </w:r>
      <w:r w:rsidR="4DC40079" w:rsidRPr="003F111D">
        <w:rPr>
          <w:rFonts w:ascii="Arial" w:hAnsi="Arial" w:cs="Arial"/>
          <w:sz w:val="22"/>
          <w:szCs w:val="22"/>
          <w:lang w:val="en-ZA"/>
        </w:rPr>
        <w:t>4</w:t>
      </w:r>
      <w:r w:rsidR="0BF51CF5" w:rsidRPr="003F111D">
        <w:rPr>
          <w:rFonts w:ascii="Arial" w:hAnsi="Arial" w:cs="Arial"/>
          <w:sz w:val="22"/>
          <w:szCs w:val="22"/>
          <w:lang w:val="en-ZA"/>
        </w:rPr>
        <w:t xml:space="preserve"> Draft </w:t>
      </w:r>
      <w:r w:rsidRPr="003F111D">
        <w:rPr>
          <w:rFonts w:ascii="Arial" w:hAnsi="Arial" w:cs="Arial"/>
          <w:sz w:val="22"/>
          <w:szCs w:val="22"/>
          <w:lang w:val="en-ZA"/>
        </w:rPr>
        <w:t>TLAB</w:t>
      </w:r>
      <w:r w:rsidR="68D1C27C" w:rsidRPr="003F111D">
        <w:rPr>
          <w:rFonts w:ascii="Arial" w:hAnsi="Arial" w:cs="Arial"/>
          <w:sz w:val="22"/>
          <w:szCs w:val="22"/>
          <w:lang w:val="en-ZA"/>
        </w:rPr>
        <w:t>,</w:t>
      </w:r>
      <w:r w:rsidRPr="003F111D">
        <w:rPr>
          <w:rFonts w:ascii="Arial" w:hAnsi="Arial" w:cs="Arial"/>
          <w:sz w:val="22"/>
          <w:szCs w:val="22"/>
          <w:lang w:val="en-ZA"/>
        </w:rPr>
        <w:t xml:space="preserve"> 202</w:t>
      </w:r>
      <w:r w:rsidR="69D0560C" w:rsidRPr="003F111D">
        <w:rPr>
          <w:rFonts w:ascii="Arial" w:hAnsi="Arial" w:cs="Arial"/>
          <w:sz w:val="22"/>
          <w:szCs w:val="22"/>
          <w:lang w:val="en-ZA"/>
        </w:rPr>
        <w:t>4</w:t>
      </w:r>
      <w:r w:rsidRPr="003F111D">
        <w:rPr>
          <w:rFonts w:ascii="Arial" w:hAnsi="Arial" w:cs="Arial"/>
          <w:sz w:val="22"/>
          <w:szCs w:val="22"/>
          <w:lang w:val="en-ZA"/>
        </w:rPr>
        <w:t xml:space="preserve"> Draft TALAB</w:t>
      </w:r>
      <w:r w:rsidR="05B267F1" w:rsidRPr="003F111D">
        <w:rPr>
          <w:rFonts w:ascii="Arial" w:hAnsi="Arial" w:cs="Arial"/>
          <w:sz w:val="22"/>
          <w:szCs w:val="22"/>
          <w:lang w:val="en-ZA"/>
        </w:rPr>
        <w:t>, Draft Global Minimum Tax Bill and Draft Global Minimum Tax Administration Bill</w:t>
      </w:r>
      <w:r w:rsidRPr="003F111D">
        <w:rPr>
          <w:rFonts w:ascii="Arial" w:hAnsi="Arial" w:cs="Arial"/>
          <w:sz w:val="22"/>
          <w:szCs w:val="22"/>
          <w:lang w:val="en-ZA"/>
        </w:rPr>
        <w:t>. The 202</w:t>
      </w:r>
      <w:r w:rsidR="37DA2583" w:rsidRPr="003F111D">
        <w:rPr>
          <w:rFonts w:ascii="Arial" w:hAnsi="Arial" w:cs="Arial"/>
          <w:sz w:val="22"/>
          <w:szCs w:val="22"/>
          <w:lang w:val="en-ZA"/>
        </w:rPr>
        <w:t>4</w:t>
      </w:r>
      <w:r w:rsidRPr="003F111D">
        <w:rPr>
          <w:rFonts w:ascii="Arial" w:hAnsi="Arial" w:cs="Arial"/>
          <w:sz w:val="22"/>
          <w:szCs w:val="22"/>
          <w:lang w:val="en-ZA"/>
        </w:rPr>
        <w:t xml:space="preserve"> Draft Response Document contains a summary of draft responses from National Treasury and SARS officials to the public comments received and proposed steps to be taken in addressing the key issues raised during the consultation process. </w:t>
      </w:r>
    </w:p>
    <w:p w14:paraId="6B60CBCA" w14:textId="77777777" w:rsidR="00A136B7" w:rsidRPr="003F111D" w:rsidRDefault="00A136B7" w:rsidP="00A136B7">
      <w:pPr>
        <w:pStyle w:val="BodyText"/>
        <w:spacing w:line="271" w:lineRule="auto"/>
        <w:ind w:left="831" w:right="152"/>
        <w:jc w:val="both"/>
        <w:rPr>
          <w:rFonts w:ascii="Arial" w:hAnsi="Arial" w:cs="Arial"/>
          <w:sz w:val="22"/>
          <w:szCs w:val="22"/>
          <w:lang w:val="en-ZA"/>
        </w:rPr>
      </w:pPr>
    </w:p>
    <w:p w14:paraId="08EAC797" w14:textId="138988F7" w:rsidR="00375F5E" w:rsidRPr="00EB4FA2" w:rsidRDefault="74231706" w:rsidP="003F111D">
      <w:pPr>
        <w:pStyle w:val="BodyText"/>
        <w:spacing w:line="271" w:lineRule="auto"/>
        <w:ind w:left="831" w:right="152"/>
        <w:jc w:val="both"/>
        <w:rPr>
          <w:sz w:val="22"/>
          <w:szCs w:val="22"/>
          <w:lang w:val="en-ZA"/>
        </w:rPr>
      </w:pPr>
      <w:r w:rsidRPr="003F111D">
        <w:rPr>
          <w:rFonts w:ascii="Arial" w:hAnsi="Arial" w:cs="Arial"/>
          <w:sz w:val="22"/>
          <w:szCs w:val="22"/>
          <w:lang w:val="en-ZA"/>
        </w:rPr>
        <w:t xml:space="preserve">Once the responses are considered by SCoF, they will be presented to the Minister for approval, including to approve consequential amendments to the </w:t>
      </w:r>
      <w:r w:rsidR="2A863436" w:rsidRPr="003F111D">
        <w:rPr>
          <w:rFonts w:ascii="Arial" w:hAnsi="Arial" w:cs="Arial"/>
          <w:sz w:val="22"/>
          <w:szCs w:val="22"/>
          <w:lang w:val="en-ZA"/>
        </w:rPr>
        <w:t xml:space="preserve">2024 Draft RLAB, </w:t>
      </w:r>
      <w:r w:rsidRPr="003F111D">
        <w:rPr>
          <w:rFonts w:ascii="Arial" w:hAnsi="Arial" w:cs="Arial"/>
          <w:sz w:val="22"/>
          <w:szCs w:val="22"/>
          <w:lang w:val="en-ZA"/>
        </w:rPr>
        <w:t>202</w:t>
      </w:r>
      <w:r w:rsidR="64BE12AE" w:rsidRPr="003F111D">
        <w:rPr>
          <w:rFonts w:ascii="Arial" w:hAnsi="Arial" w:cs="Arial"/>
          <w:sz w:val="22"/>
          <w:szCs w:val="22"/>
          <w:lang w:val="en-ZA"/>
        </w:rPr>
        <w:t>4</w:t>
      </w:r>
      <w:r w:rsidRPr="003F111D">
        <w:rPr>
          <w:rFonts w:ascii="Arial" w:hAnsi="Arial" w:cs="Arial"/>
          <w:sz w:val="22"/>
          <w:szCs w:val="22"/>
          <w:lang w:val="en-ZA"/>
        </w:rPr>
        <w:t xml:space="preserve"> Draft TLAB</w:t>
      </w:r>
      <w:r w:rsidR="1C41E9C3" w:rsidRPr="003F111D">
        <w:rPr>
          <w:rFonts w:ascii="Arial" w:hAnsi="Arial" w:cs="Arial"/>
          <w:sz w:val="22"/>
          <w:szCs w:val="22"/>
          <w:lang w:val="en-ZA"/>
        </w:rPr>
        <w:t>,</w:t>
      </w:r>
      <w:r w:rsidR="6A3A8793" w:rsidRPr="003F111D">
        <w:rPr>
          <w:rFonts w:ascii="Arial" w:hAnsi="Arial" w:cs="Arial"/>
          <w:sz w:val="22"/>
          <w:szCs w:val="22"/>
          <w:lang w:val="en-ZA"/>
        </w:rPr>
        <w:t xml:space="preserve"> </w:t>
      </w:r>
      <w:r w:rsidRPr="003F111D">
        <w:rPr>
          <w:rFonts w:ascii="Arial" w:hAnsi="Arial" w:cs="Arial"/>
          <w:sz w:val="22"/>
          <w:szCs w:val="22"/>
          <w:lang w:val="en-ZA"/>
        </w:rPr>
        <w:t>202</w:t>
      </w:r>
      <w:r w:rsidR="7C382CAE" w:rsidRPr="003F111D">
        <w:rPr>
          <w:rFonts w:ascii="Arial" w:hAnsi="Arial" w:cs="Arial"/>
          <w:sz w:val="22"/>
          <w:szCs w:val="22"/>
          <w:lang w:val="en-ZA"/>
        </w:rPr>
        <w:t>4</w:t>
      </w:r>
      <w:r w:rsidRPr="003F111D">
        <w:rPr>
          <w:rFonts w:ascii="Arial" w:hAnsi="Arial" w:cs="Arial"/>
          <w:sz w:val="22"/>
          <w:szCs w:val="22"/>
          <w:lang w:val="en-ZA"/>
        </w:rPr>
        <w:t xml:space="preserve"> Draft </w:t>
      </w:r>
      <w:r w:rsidR="54CA3FED" w:rsidRPr="003F111D">
        <w:rPr>
          <w:rFonts w:ascii="Arial" w:hAnsi="Arial" w:cs="Arial"/>
          <w:sz w:val="22"/>
          <w:szCs w:val="22"/>
          <w:lang w:val="en-ZA"/>
        </w:rPr>
        <w:t>TALAB,</w:t>
      </w:r>
      <w:r w:rsidRPr="003F111D">
        <w:rPr>
          <w:rFonts w:ascii="Arial" w:hAnsi="Arial" w:cs="Arial"/>
          <w:sz w:val="22"/>
          <w:szCs w:val="22"/>
          <w:lang w:val="en-ZA"/>
        </w:rPr>
        <w:t xml:space="preserve"> </w:t>
      </w:r>
      <w:r w:rsidR="518FE057" w:rsidRPr="003F111D">
        <w:rPr>
          <w:rFonts w:ascii="Arial" w:hAnsi="Arial" w:cs="Arial"/>
          <w:sz w:val="22"/>
          <w:szCs w:val="22"/>
          <w:lang w:val="en-ZA"/>
        </w:rPr>
        <w:t xml:space="preserve">and Draft Global Minimum Tax Bill and Draft Global Minimum Tax Administration Bill </w:t>
      </w:r>
      <w:r w:rsidRPr="003F111D">
        <w:rPr>
          <w:rFonts w:ascii="Arial" w:hAnsi="Arial" w:cs="Arial"/>
          <w:sz w:val="22"/>
          <w:szCs w:val="22"/>
          <w:lang w:val="en-ZA"/>
        </w:rPr>
        <w:t>prior to the formal introduction/tabling by the Minister in Parliament.</w:t>
      </w:r>
    </w:p>
    <w:p w14:paraId="31F7A1BB" w14:textId="77777777" w:rsidR="00375F5E" w:rsidRPr="00EB4FA2" w:rsidRDefault="00375F5E" w:rsidP="251BE3F0">
      <w:pPr>
        <w:pStyle w:val="BodyText"/>
        <w:spacing w:before="5"/>
        <w:rPr>
          <w:sz w:val="18"/>
          <w:szCs w:val="18"/>
          <w:lang w:val="en-ZA"/>
        </w:rPr>
      </w:pPr>
    </w:p>
    <w:p w14:paraId="04044D6B" w14:textId="77777777" w:rsidR="00375F5E" w:rsidRPr="00EB4FA2" w:rsidRDefault="454DE0F2">
      <w:pPr>
        <w:pStyle w:val="Heading3"/>
        <w:numPr>
          <w:ilvl w:val="1"/>
          <w:numId w:val="37"/>
        </w:numPr>
        <w:tabs>
          <w:tab w:val="left" w:pos="961"/>
        </w:tabs>
        <w:spacing w:before="1"/>
        <w:rPr>
          <w:lang w:val="en-ZA"/>
        </w:rPr>
      </w:pPr>
      <w:bookmarkStart w:id="17" w:name="_TOC_250043"/>
      <w:bookmarkStart w:id="18" w:name="_Toc189212090"/>
      <w:r w:rsidRPr="00EB4FA2">
        <w:rPr>
          <w:spacing w:val="-1"/>
          <w:lang w:val="en-ZA"/>
        </w:rPr>
        <w:t>POLICY</w:t>
      </w:r>
      <w:r w:rsidRPr="00EB4FA2">
        <w:rPr>
          <w:spacing w:val="-14"/>
          <w:lang w:val="en-ZA"/>
        </w:rPr>
        <w:t xml:space="preserve"> </w:t>
      </w:r>
      <w:r w:rsidRPr="00EB4FA2">
        <w:rPr>
          <w:spacing w:val="-1"/>
          <w:lang w:val="en-ZA"/>
        </w:rPr>
        <w:t>ISSUES</w:t>
      </w:r>
      <w:r w:rsidRPr="00EB4FA2">
        <w:rPr>
          <w:spacing w:val="-10"/>
          <w:lang w:val="en-ZA"/>
        </w:rPr>
        <w:t xml:space="preserve"> </w:t>
      </w:r>
      <w:r w:rsidRPr="00EB4FA2">
        <w:rPr>
          <w:lang w:val="en-ZA"/>
        </w:rPr>
        <w:t>AND</w:t>
      </w:r>
      <w:r w:rsidRPr="00EB4FA2">
        <w:rPr>
          <w:spacing w:val="-13"/>
          <w:lang w:val="en-ZA"/>
        </w:rPr>
        <w:t xml:space="preserve"> </w:t>
      </w:r>
      <w:bookmarkEnd w:id="17"/>
      <w:r w:rsidRPr="00EB4FA2">
        <w:rPr>
          <w:lang w:val="en-ZA"/>
        </w:rPr>
        <w:t>RESPONSES</w:t>
      </w:r>
      <w:bookmarkEnd w:id="18"/>
    </w:p>
    <w:p w14:paraId="341AA41D" w14:textId="77777777" w:rsidR="00375F5E" w:rsidRPr="00EB4FA2" w:rsidRDefault="00375F5E" w:rsidP="251BE3F0">
      <w:pPr>
        <w:pStyle w:val="BodyText"/>
        <w:rPr>
          <w:rFonts w:ascii="Arial"/>
          <w:b/>
          <w:bCs/>
          <w:sz w:val="29"/>
          <w:szCs w:val="29"/>
          <w:lang w:val="en-ZA"/>
        </w:rPr>
      </w:pPr>
    </w:p>
    <w:p w14:paraId="55A1CC4C" w14:textId="379CF5B4" w:rsidR="00D67BFA" w:rsidRPr="00EB4FA2" w:rsidRDefault="495BDCF3" w:rsidP="00A136B7">
      <w:pPr>
        <w:pStyle w:val="BodyText"/>
        <w:spacing w:line="271" w:lineRule="auto"/>
        <w:ind w:left="831" w:right="152"/>
        <w:jc w:val="both"/>
        <w:rPr>
          <w:rFonts w:ascii="Arial" w:hAnsi="Arial" w:cs="Arial"/>
          <w:sz w:val="22"/>
          <w:szCs w:val="22"/>
          <w:lang w:val="en-ZA"/>
        </w:rPr>
      </w:pPr>
      <w:r w:rsidRPr="00EB4FA2">
        <w:rPr>
          <w:rFonts w:ascii="Arial" w:hAnsi="Arial" w:cs="Arial"/>
          <w:sz w:val="22"/>
          <w:szCs w:val="22"/>
          <w:lang w:val="en-ZA"/>
        </w:rPr>
        <w:t xml:space="preserve">Provided below are the responses to the key issues raised by the public in respect of the </w:t>
      </w:r>
      <w:bookmarkStart w:id="19" w:name="_Hlk19092064"/>
      <w:r w:rsidRPr="00EB4FA2">
        <w:rPr>
          <w:rFonts w:ascii="Arial" w:hAnsi="Arial" w:cs="Arial"/>
          <w:sz w:val="22"/>
          <w:szCs w:val="22"/>
          <w:lang w:val="en-ZA"/>
        </w:rPr>
        <w:t>202</w:t>
      </w:r>
      <w:r w:rsidR="1BF322B0" w:rsidRPr="00EB4FA2">
        <w:rPr>
          <w:rFonts w:ascii="Arial" w:hAnsi="Arial" w:cs="Arial"/>
          <w:sz w:val="22"/>
          <w:szCs w:val="22"/>
          <w:lang w:val="en-ZA"/>
        </w:rPr>
        <w:t>4</w:t>
      </w:r>
      <w:r w:rsidRPr="00EB4FA2">
        <w:rPr>
          <w:rFonts w:ascii="Arial" w:hAnsi="Arial" w:cs="Arial"/>
          <w:sz w:val="22"/>
          <w:szCs w:val="22"/>
          <w:lang w:val="en-ZA"/>
        </w:rPr>
        <w:t xml:space="preserve"> Draft Revenue Laws Amendment Bill, 202</w:t>
      </w:r>
      <w:r w:rsidR="2908E8F1" w:rsidRPr="00EB4FA2">
        <w:rPr>
          <w:rFonts w:ascii="Arial" w:hAnsi="Arial" w:cs="Arial"/>
          <w:sz w:val="22"/>
          <w:szCs w:val="22"/>
          <w:lang w:val="en-ZA"/>
        </w:rPr>
        <w:t>4</w:t>
      </w:r>
      <w:r w:rsidRPr="00EB4FA2">
        <w:rPr>
          <w:rFonts w:ascii="Arial" w:hAnsi="Arial" w:cs="Arial"/>
          <w:sz w:val="22"/>
          <w:szCs w:val="22"/>
          <w:lang w:val="en-ZA"/>
        </w:rPr>
        <w:t xml:space="preserve"> </w:t>
      </w:r>
      <w:r w:rsidR="04C1C05E" w:rsidRPr="00EB4FA2">
        <w:rPr>
          <w:rFonts w:ascii="Arial" w:hAnsi="Arial" w:cs="Arial"/>
          <w:sz w:val="22"/>
          <w:szCs w:val="22"/>
          <w:lang w:val="en-ZA"/>
        </w:rPr>
        <w:t>D</w:t>
      </w:r>
      <w:r w:rsidRPr="00EB4FA2">
        <w:rPr>
          <w:rFonts w:ascii="Arial" w:hAnsi="Arial" w:cs="Arial"/>
          <w:sz w:val="22"/>
          <w:szCs w:val="22"/>
          <w:lang w:val="en-ZA"/>
        </w:rPr>
        <w:t>raft Rates Bill, 202</w:t>
      </w:r>
      <w:r w:rsidR="10716BF6" w:rsidRPr="00EB4FA2">
        <w:rPr>
          <w:rFonts w:ascii="Arial" w:hAnsi="Arial" w:cs="Arial"/>
          <w:sz w:val="22"/>
          <w:szCs w:val="22"/>
          <w:lang w:val="en-ZA"/>
        </w:rPr>
        <w:t>4</w:t>
      </w:r>
      <w:r w:rsidRPr="00EB4FA2">
        <w:rPr>
          <w:rFonts w:ascii="Arial" w:hAnsi="Arial" w:cs="Arial"/>
          <w:sz w:val="22"/>
          <w:szCs w:val="22"/>
          <w:lang w:val="en-ZA"/>
        </w:rPr>
        <w:t xml:space="preserve"> Draft TLAB</w:t>
      </w:r>
      <w:r w:rsidR="2B44BA7E" w:rsidRPr="00EB4FA2">
        <w:rPr>
          <w:rFonts w:ascii="Arial" w:hAnsi="Arial" w:cs="Arial"/>
          <w:sz w:val="22"/>
          <w:szCs w:val="22"/>
          <w:lang w:val="en-ZA"/>
        </w:rPr>
        <w:t>,</w:t>
      </w:r>
      <w:r w:rsidRPr="00EB4FA2">
        <w:rPr>
          <w:rFonts w:ascii="Arial" w:hAnsi="Arial" w:cs="Arial"/>
          <w:sz w:val="22"/>
          <w:szCs w:val="22"/>
          <w:lang w:val="en-ZA"/>
        </w:rPr>
        <w:t xml:space="preserve"> 202</w:t>
      </w:r>
      <w:r w:rsidR="0D21DD36" w:rsidRPr="00EB4FA2">
        <w:rPr>
          <w:rFonts w:ascii="Arial" w:hAnsi="Arial" w:cs="Arial"/>
          <w:sz w:val="22"/>
          <w:szCs w:val="22"/>
          <w:lang w:val="en-ZA"/>
        </w:rPr>
        <w:t>4</w:t>
      </w:r>
      <w:r w:rsidRPr="00EB4FA2">
        <w:rPr>
          <w:rFonts w:ascii="Arial" w:hAnsi="Arial" w:cs="Arial"/>
          <w:sz w:val="22"/>
          <w:szCs w:val="22"/>
          <w:lang w:val="en-ZA"/>
        </w:rPr>
        <w:t xml:space="preserve"> Draft TALAB</w:t>
      </w:r>
      <w:r w:rsidR="1E029585" w:rsidRPr="00EB4FA2">
        <w:rPr>
          <w:rFonts w:ascii="Arial" w:hAnsi="Arial" w:cs="Arial"/>
          <w:sz w:val="22"/>
          <w:szCs w:val="22"/>
          <w:lang w:val="en-ZA"/>
        </w:rPr>
        <w:t xml:space="preserve">, </w:t>
      </w:r>
      <w:bookmarkEnd w:id="19"/>
      <w:r w:rsidR="1E029585" w:rsidRPr="00EB4FA2">
        <w:rPr>
          <w:rFonts w:ascii="Arial" w:hAnsi="Arial" w:cs="Arial"/>
          <w:sz w:val="22"/>
          <w:szCs w:val="22"/>
          <w:lang w:val="en-ZA"/>
        </w:rPr>
        <w:t>Global Minimum Tax Bill and Global Minimum Tax Administration Bill</w:t>
      </w:r>
      <w:r w:rsidRPr="00EB4FA2">
        <w:rPr>
          <w:rFonts w:ascii="Arial" w:hAnsi="Arial" w:cs="Arial"/>
          <w:sz w:val="22"/>
          <w:szCs w:val="22"/>
          <w:lang w:val="en-ZA"/>
        </w:rPr>
        <w:t xml:space="preserve"> in the form of written submissions as well as during the public hearings. These comments will be considered in finalising the 202</w:t>
      </w:r>
      <w:r w:rsidR="54FD6FEC" w:rsidRPr="00EB4FA2">
        <w:rPr>
          <w:rFonts w:ascii="Arial" w:hAnsi="Arial" w:cs="Arial"/>
          <w:sz w:val="22"/>
          <w:szCs w:val="22"/>
          <w:lang w:val="en-ZA"/>
        </w:rPr>
        <w:t>4</w:t>
      </w:r>
      <w:r w:rsidRPr="00EB4FA2">
        <w:rPr>
          <w:rFonts w:ascii="Arial" w:hAnsi="Arial" w:cs="Arial"/>
          <w:sz w:val="22"/>
          <w:szCs w:val="22"/>
          <w:lang w:val="en-ZA"/>
        </w:rPr>
        <w:t xml:space="preserve"> Draft Revenue Laws Amendment Bill, 202</w:t>
      </w:r>
      <w:r w:rsidR="360F8B6B" w:rsidRPr="00EB4FA2">
        <w:rPr>
          <w:rFonts w:ascii="Arial" w:hAnsi="Arial" w:cs="Arial"/>
          <w:sz w:val="22"/>
          <w:szCs w:val="22"/>
          <w:lang w:val="en-ZA"/>
        </w:rPr>
        <w:t>4</w:t>
      </w:r>
      <w:r w:rsidRPr="00EB4FA2">
        <w:rPr>
          <w:rFonts w:ascii="Arial" w:hAnsi="Arial" w:cs="Arial"/>
          <w:sz w:val="22"/>
          <w:szCs w:val="22"/>
          <w:lang w:val="en-ZA"/>
        </w:rPr>
        <w:t xml:space="preserve"> Draft Rates Bill, 202</w:t>
      </w:r>
      <w:r w:rsidR="46DF4930" w:rsidRPr="00EB4FA2">
        <w:rPr>
          <w:rFonts w:ascii="Arial" w:hAnsi="Arial" w:cs="Arial"/>
          <w:sz w:val="22"/>
          <w:szCs w:val="22"/>
          <w:lang w:val="en-ZA"/>
        </w:rPr>
        <w:t>4</w:t>
      </w:r>
      <w:r w:rsidRPr="00EB4FA2">
        <w:rPr>
          <w:rFonts w:ascii="Arial" w:hAnsi="Arial" w:cs="Arial"/>
          <w:sz w:val="22"/>
          <w:szCs w:val="22"/>
          <w:lang w:val="en-ZA"/>
        </w:rPr>
        <w:t xml:space="preserve"> Draft TLAB</w:t>
      </w:r>
      <w:r w:rsidR="3FE4538B" w:rsidRPr="00EB4FA2">
        <w:rPr>
          <w:rFonts w:ascii="Arial" w:hAnsi="Arial" w:cs="Arial"/>
          <w:sz w:val="22"/>
          <w:szCs w:val="22"/>
          <w:lang w:val="en-ZA"/>
        </w:rPr>
        <w:t>,</w:t>
      </w:r>
      <w:r w:rsidRPr="00EB4FA2">
        <w:rPr>
          <w:rFonts w:ascii="Arial" w:hAnsi="Arial" w:cs="Arial"/>
          <w:sz w:val="22"/>
          <w:szCs w:val="22"/>
          <w:lang w:val="en-ZA"/>
        </w:rPr>
        <w:t xml:space="preserve"> 202</w:t>
      </w:r>
      <w:r w:rsidR="5AFF5B63" w:rsidRPr="00EB4FA2">
        <w:rPr>
          <w:rFonts w:ascii="Arial" w:hAnsi="Arial" w:cs="Arial"/>
          <w:sz w:val="22"/>
          <w:szCs w:val="22"/>
          <w:lang w:val="en-ZA"/>
        </w:rPr>
        <w:t>4</w:t>
      </w:r>
      <w:r w:rsidRPr="00EB4FA2">
        <w:rPr>
          <w:rFonts w:ascii="Arial" w:hAnsi="Arial" w:cs="Arial"/>
          <w:sz w:val="22"/>
          <w:szCs w:val="22"/>
          <w:lang w:val="en-ZA"/>
        </w:rPr>
        <w:t xml:space="preserve"> Draft TALAB</w:t>
      </w:r>
      <w:r w:rsidR="26B29834" w:rsidRPr="00EB4FA2">
        <w:rPr>
          <w:rFonts w:ascii="Arial" w:hAnsi="Arial" w:cs="Arial"/>
          <w:sz w:val="22"/>
          <w:szCs w:val="22"/>
          <w:lang w:val="en-ZA"/>
        </w:rPr>
        <w:t xml:space="preserve">, </w:t>
      </w:r>
      <w:r w:rsidR="23413776" w:rsidRPr="00EB4FA2">
        <w:rPr>
          <w:rFonts w:ascii="Arial" w:hAnsi="Arial" w:cs="Arial"/>
          <w:sz w:val="22"/>
          <w:szCs w:val="22"/>
          <w:lang w:val="en-ZA"/>
        </w:rPr>
        <w:t xml:space="preserve">Draft </w:t>
      </w:r>
      <w:r w:rsidR="26B29834" w:rsidRPr="00EB4FA2">
        <w:rPr>
          <w:rFonts w:ascii="Arial" w:hAnsi="Arial" w:cs="Arial"/>
          <w:sz w:val="22"/>
          <w:szCs w:val="22"/>
          <w:lang w:val="en-ZA"/>
        </w:rPr>
        <w:t>Global Minimum Tax Bill and</w:t>
      </w:r>
      <w:r w:rsidR="0F85788F" w:rsidRPr="00EB4FA2">
        <w:rPr>
          <w:rFonts w:ascii="Arial" w:hAnsi="Arial" w:cs="Arial"/>
          <w:sz w:val="22"/>
          <w:szCs w:val="22"/>
          <w:lang w:val="en-ZA"/>
        </w:rPr>
        <w:t xml:space="preserve"> Draft</w:t>
      </w:r>
      <w:r w:rsidR="26B29834" w:rsidRPr="00EB4FA2">
        <w:rPr>
          <w:rFonts w:ascii="Arial" w:hAnsi="Arial" w:cs="Arial"/>
          <w:sz w:val="22"/>
          <w:szCs w:val="22"/>
          <w:lang w:val="en-ZA"/>
        </w:rPr>
        <w:t xml:space="preserve"> Global Minimum Tax Administration Bill </w:t>
      </w:r>
      <w:r w:rsidRPr="00EB4FA2">
        <w:rPr>
          <w:rFonts w:ascii="Arial" w:hAnsi="Arial" w:cs="Arial"/>
          <w:sz w:val="22"/>
          <w:szCs w:val="22"/>
          <w:lang w:val="en-ZA"/>
        </w:rPr>
        <w:t>to be tabled. Comments that are outside the scope of the 202</w:t>
      </w:r>
      <w:r w:rsidR="7D74D188" w:rsidRPr="00EB4FA2">
        <w:rPr>
          <w:rFonts w:ascii="Arial" w:hAnsi="Arial" w:cs="Arial"/>
          <w:sz w:val="22"/>
          <w:szCs w:val="22"/>
          <w:lang w:val="en-ZA"/>
        </w:rPr>
        <w:t>4</w:t>
      </w:r>
      <w:r w:rsidRPr="00EB4FA2">
        <w:rPr>
          <w:rFonts w:ascii="Arial" w:hAnsi="Arial" w:cs="Arial"/>
          <w:sz w:val="22"/>
          <w:szCs w:val="22"/>
          <w:lang w:val="en-ZA"/>
        </w:rPr>
        <w:t xml:space="preserve"> Draft T</w:t>
      </w:r>
      <w:r w:rsidR="555D58C5" w:rsidRPr="00EB4FA2">
        <w:rPr>
          <w:rFonts w:ascii="Arial" w:hAnsi="Arial" w:cs="Arial"/>
          <w:sz w:val="22"/>
          <w:szCs w:val="22"/>
          <w:lang w:val="en-ZA"/>
        </w:rPr>
        <w:t xml:space="preserve">ax Bills </w:t>
      </w:r>
      <w:r w:rsidRPr="00EB4FA2">
        <w:rPr>
          <w:rFonts w:ascii="Arial" w:hAnsi="Arial" w:cs="Arial"/>
          <w:sz w:val="22"/>
          <w:szCs w:val="22"/>
          <w:lang w:val="en-ZA"/>
        </w:rPr>
        <w:t xml:space="preserve">are not considered for </w:t>
      </w:r>
      <w:r w:rsidR="7F718201" w:rsidRPr="00EB4FA2">
        <w:rPr>
          <w:rFonts w:ascii="Arial" w:hAnsi="Arial" w:cs="Arial"/>
          <w:sz w:val="22"/>
          <w:szCs w:val="22"/>
          <w:lang w:val="en-ZA"/>
        </w:rPr>
        <w:t>the purposes</w:t>
      </w:r>
      <w:r w:rsidRPr="00EB4FA2">
        <w:rPr>
          <w:rFonts w:ascii="Arial" w:hAnsi="Arial" w:cs="Arial"/>
          <w:sz w:val="22"/>
          <w:szCs w:val="22"/>
          <w:lang w:val="en-ZA"/>
        </w:rPr>
        <w:t xml:space="preserve"> of this response document. </w:t>
      </w:r>
      <w:r w:rsidR="2936B45D" w:rsidRPr="00EB4FA2">
        <w:rPr>
          <w:rFonts w:ascii="Arial" w:hAnsi="Arial" w:cs="Arial"/>
          <w:sz w:val="22"/>
          <w:szCs w:val="22"/>
          <w:lang w:val="en-ZA"/>
        </w:rPr>
        <w:t xml:space="preserve"> </w:t>
      </w:r>
      <w:r w:rsidR="17145A96" w:rsidRPr="00EB4FA2">
        <w:rPr>
          <w:rFonts w:ascii="Arial" w:hAnsi="Arial" w:cs="Arial"/>
          <w:sz w:val="22"/>
          <w:szCs w:val="22"/>
          <w:lang w:val="en-ZA"/>
        </w:rPr>
        <w:t xml:space="preserve"> </w:t>
      </w:r>
    </w:p>
    <w:p w14:paraId="662B3FC6" w14:textId="77777777" w:rsidR="00375F5E" w:rsidRPr="00EB4FA2" w:rsidRDefault="00375F5E" w:rsidP="251BE3F0">
      <w:pPr>
        <w:pStyle w:val="BodyText"/>
        <w:spacing w:before="9"/>
        <w:rPr>
          <w:sz w:val="18"/>
          <w:szCs w:val="18"/>
          <w:lang w:val="en-ZA"/>
        </w:rPr>
      </w:pPr>
    </w:p>
    <w:p w14:paraId="243A8C70" w14:textId="77777777" w:rsidR="00375F5E" w:rsidRPr="00EB4FA2" w:rsidRDefault="454DE0F2">
      <w:pPr>
        <w:pStyle w:val="Heading3"/>
        <w:numPr>
          <w:ilvl w:val="1"/>
          <w:numId w:val="37"/>
        </w:numPr>
        <w:tabs>
          <w:tab w:val="left" w:pos="961"/>
        </w:tabs>
        <w:spacing w:before="1"/>
        <w:rPr>
          <w:lang w:val="en-ZA"/>
        </w:rPr>
      </w:pPr>
      <w:bookmarkStart w:id="20" w:name="_TOC_250042"/>
      <w:bookmarkStart w:id="21" w:name="_Toc189212091"/>
      <w:bookmarkEnd w:id="20"/>
      <w:r w:rsidRPr="003F111D">
        <w:rPr>
          <w:lang w:val="en-ZA"/>
        </w:rPr>
        <w:t>SUMMARY</w:t>
      </w:r>
      <w:bookmarkEnd w:id="21"/>
    </w:p>
    <w:p w14:paraId="752A61AD" w14:textId="77777777" w:rsidR="00375F5E" w:rsidRPr="00EB4FA2" w:rsidRDefault="00375F5E" w:rsidP="251BE3F0">
      <w:pPr>
        <w:pStyle w:val="BodyText"/>
        <w:spacing w:before="4"/>
        <w:rPr>
          <w:rFonts w:ascii="Arial"/>
          <w:b/>
          <w:bCs/>
          <w:sz w:val="31"/>
          <w:szCs w:val="31"/>
          <w:lang w:val="en-ZA"/>
        </w:rPr>
      </w:pPr>
    </w:p>
    <w:p w14:paraId="4328B021" w14:textId="51933093" w:rsidR="00375F5E" w:rsidRPr="00EB4FA2" w:rsidRDefault="495BDCF3" w:rsidP="5BCFEF27">
      <w:pPr>
        <w:pStyle w:val="BodyText"/>
        <w:spacing w:line="271" w:lineRule="auto"/>
        <w:ind w:left="831" w:right="152"/>
        <w:jc w:val="both"/>
        <w:rPr>
          <w:rFonts w:ascii="Arial" w:hAnsi="Arial" w:cs="Arial"/>
          <w:sz w:val="22"/>
          <w:szCs w:val="22"/>
          <w:lang w:val="en-ZA"/>
        </w:rPr>
      </w:pPr>
      <w:r w:rsidRPr="00EB4FA2">
        <w:rPr>
          <w:rFonts w:ascii="Arial" w:hAnsi="Arial" w:cs="Arial"/>
          <w:sz w:val="22"/>
          <w:szCs w:val="22"/>
          <w:lang w:val="en-ZA"/>
        </w:rPr>
        <w:t>This response document includes a summary of all the written comments received on the 202</w:t>
      </w:r>
      <w:r w:rsidR="5361115F" w:rsidRPr="00EB4FA2">
        <w:rPr>
          <w:rFonts w:ascii="Arial" w:hAnsi="Arial" w:cs="Arial"/>
          <w:sz w:val="22"/>
          <w:szCs w:val="22"/>
          <w:lang w:val="en-ZA"/>
        </w:rPr>
        <w:t>4</w:t>
      </w:r>
      <w:r w:rsidRPr="00EB4FA2">
        <w:rPr>
          <w:rFonts w:ascii="Arial" w:hAnsi="Arial" w:cs="Arial"/>
          <w:sz w:val="22"/>
          <w:szCs w:val="22"/>
          <w:lang w:val="en-ZA"/>
        </w:rPr>
        <w:t xml:space="preserve"> Draft Revenue Laws Amendment Bill</w:t>
      </w:r>
      <w:r w:rsidR="339BC0A6" w:rsidRPr="00EB4FA2">
        <w:rPr>
          <w:rFonts w:ascii="Arial" w:hAnsi="Arial" w:cs="Arial"/>
          <w:sz w:val="22"/>
          <w:szCs w:val="22"/>
          <w:lang w:val="en-ZA"/>
        </w:rPr>
        <w:t xml:space="preserve"> </w:t>
      </w:r>
      <w:r w:rsidRPr="00EB4FA2">
        <w:rPr>
          <w:rFonts w:ascii="Arial" w:hAnsi="Arial" w:cs="Arial"/>
          <w:sz w:val="22"/>
          <w:szCs w:val="22"/>
          <w:lang w:val="en-ZA"/>
        </w:rPr>
        <w:t>published for comment on</w:t>
      </w:r>
      <w:r w:rsidR="4AE9BFC4" w:rsidRPr="00EB4FA2">
        <w:rPr>
          <w:rFonts w:ascii="Arial" w:hAnsi="Arial" w:cs="Arial"/>
          <w:sz w:val="22"/>
          <w:szCs w:val="22"/>
          <w:lang w:val="en-ZA"/>
        </w:rPr>
        <w:t xml:space="preserve"> 21 February 2024 and on 1 August 2024</w:t>
      </w:r>
      <w:r w:rsidR="64AFCE8B" w:rsidRPr="00EB4FA2">
        <w:rPr>
          <w:rFonts w:ascii="Arial" w:hAnsi="Arial" w:cs="Arial"/>
          <w:sz w:val="22"/>
          <w:szCs w:val="22"/>
          <w:lang w:val="en-ZA"/>
        </w:rPr>
        <w:t xml:space="preserve"> as well as a summary of all the written and oral presentations made during public hearings held by the SCOF on 17 September 2024.</w:t>
      </w:r>
    </w:p>
    <w:p w14:paraId="08E7B544" w14:textId="77777777" w:rsidR="00451234" w:rsidRPr="00EB4FA2" w:rsidRDefault="00451234" w:rsidP="5BCFEF27">
      <w:pPr>
        <w:pStyle w:val="BodyText"/>
        <w:spacing w:line="271" w:lineRule="auto"/>
        <w:ind w:left="831" w:right="152"/>
        <w:jc w:val="both"/>
        <w:rPr>
          <w:rFonts w:ascii="Arial" w:hAnsi="Arial" w:cs="Arial"/>
          <w:sz w:val="22"/>
          <w:szCs w:val="22"/>
          <w:lang w:val="en-ZA"/>
        </w:rPr>
      </w:pPr>
    </w:p>
    <w:p w14:paraId="656F500A" w14:textId="02D3E0B5" w:rsidR="00375F5E" w:rsidRPr="00EB4FA2" w:rsidRDefault="3406F778" w:rsidP="5BCFEF27">
      <w:pPr>
        <w:pStyle w:val="BodyText"/>
        <w:spacing w:line="271" w:lineRule="auto"/>
        <w:ind w:left="831" w:right="152"/>
        <w:jc w:val="both"/>
        <w:rPr>
          <w:rFonts w:ascii="Arial" w:hAnsi="Arial" w:cs="Arial"/>
          <w:sz w:val="22"/>
          <w:szCs w:val="22"/>
          <w:lang w:val="en-ZA"/>
        </w:rPr>
        <w:sectPr w:rsidR="00375F5E" w:rsidRPr="00EB4FA2">
          <w:pgSz w:w="12240" w:h="15840"/>
          <w:pgMar w:top="1280" w:right="1720" w:bottom="1080" w:left="1720" w:header="0" w:footer="891" w:gutter="0"/>
          <w:cols w:space="720"/>
        </w:sectPr>
      </w:pPr>
      <w:r w:rsidRPr="00EB4FA2">
        <w:rPr>
          <w:rFonts w:ascii="Arial" w:hAnsi="Arial" w:cs="Arial"/>
          <w:sz w:val="22"/>
          <w:szCs w:val="22"/>
          <w:lang w:val="en-ZA"/>
        </w:rPr>
        <w:t>While</w:t>
      </w:r>
      <w:r w:rsidR="495BDCF3" w:rsidRPr="00EB4FA2">
        <w:rPr>
          <w:rFonts w:ascii="Arial" w:hAnsi="Arial" w:cs="Arial"/>
          <w:sz w:val="22"/>
          <w:szCs w:val="22"/>
          <w:lang w:val="en-ZA"/>
        </w:rPr>
        <w:t xml:space="preserve"> the 202</w:t>
      </w:r>
      <w:r w:rsidR="11F5BA07" w:rsidRPr="00EB4FA2">
        <w:rPr>
          <w:rFonts w:ascii="Arial" w:hAnsi="Arial" w:cs="Arial"/>
          <w:sz w:val="22"/>
          <w:szCs w:val="22"/>
          <w:lang w:val="en-ZA"/>
        </w:rPr>
        <w:t>4</w:t>
      </w:r>
      <w:r w:rsidR="495BDCF3" w:rsidRPr="00EB4FA2">
        <w:rPr>
          <w:rFonts w:ascii="Arial" w:hAnsi="Arial" w:cs="Arial"/>
          <w:sz w:val="22"/>
          <w:szCs w:val="22"/>
          <w:lang w:val="en-ZA"/>
        </w:rPr>
        <w:t xml:space="preserve"> Draft Rates Bill, </w:t>
      </w:r>
      <w:r w:rsidR="64520201" w:rsidRPr="00EB4FA2">
        <w:rPr>
          <w:rFonts w:ascii="Arial" w:hAnsi="Arial" w:cs="Arial"/>
          <w:sz w:val="22"/>
          <w:szCs w:val="22"/>
          <w:lang w:val="en-ZA"/>
        </w:rPr>
        <w:t xml:space="preserve">Draft Global Minimum Tax Bill and Draft Global Minimum Tax Administration Bill were published for public comment on 21 February 2024. </w:t>
      </w:r>
      <w:r w:rsidR="0478F3A8" w:rsidRPr="00EB4FA2">
        <w:rPr>
          <w:rFonts w:ascii="Arial" w:hAnsi="Arial" w:cs="Arial"/>
          <w:sz w:val="22"/>
          <w:szCs w:val="22"/>
          <w:lang w:val="en-ZA"/>
        </w:rPr>
        <w:t xml:space="preserve">This response includes </w:t>
      </w:r>
      <w:r w:rsidR="29EA00A1" w:rsidRPr="00EB4FA2">
        <w:rPr>
          <w:rFonts w:ascii="Arial" w:hAnsi="Arial" w:cs="Arial"/>
          <w:sz w:val="22"/>
          <w:szCs w:val="22"/>
          <w:lang w:val="en-ZA"/>
        </w:rPr>
        <w:t xml:space="preserve">summaries of the written comments as well the comments made </w:t>
      </w:r>
      <w:r w:rsidR="706DAC59" w:rsidRPr="00EB4FA2">
        <w:rPr>
          <w:rFonts w:ascii="Arial" w:hAnsi="Arial" w:cs="Arial"/>
          <w:sz w:val="22"/>
          <w:szCs w:val="22"/>
          <w:lang w:val="en-ZA"/>
        </w:rPr>
        <w:t xml:space="preserve">during public hearings held by the SCOF on 17 September 2024. </w:t>
      </w:r>
      <w:r w:rsidR="74627971" w:rsidRPr="00EB4FA2">
        <w:rPr>
          <w:rFonts w:ascii="Arial" w:hAnsi="Arial" w:cs="Arial"/>
          <w:sz w:val="22"/>
          <w:szCs w:val="22"/>
          <w:lang w:val="en-ZA"/>
        </w:rPr>
        <w:t xml:space="preserve">Lastly, this response document includes summary of all the written comments received on </w:t>
      </w:r>
      <w:r w:rsidR="018273F9" w:rsidRPr="00EB4FA2">
        <w:rPr>
          <w:rFonts w:ascii="Arial" w:hAnsi="Arial" w:cs="Arial"/>
          <w:sz w:val="22"/>
          <w:szCs w:val="22"/>
          <w:lang w:val="en-ZA"/>
        </w:rPr>
        <w:t>t</w:t>
      </w:r>
      <w:r w:rsidR="47268DAD" w:rsidRPr="00EB4FA2">
        <w:rPr>
          <w:rFonts w:ascii="Arial" w:hAnsi="Arial" w:cs="Arial"/>
          <w:sz w:val="22"/>
          <w:szCs w:val="22"/>
          <w:lang w:val="en-ZA"/>
        </w:rPr>
        <w:t xml:space="preserve">he </w:t>
      </w:r>
      <w:r w:rsidR="495BDCF3" w:rsidRPr="00EB4FA2">
        <w:rPr>
          <w:rFonts w:ascii="Arial" w:hAnsi="Arial" w:cs="Arial"/>
          <w:sz w:val="22"/>
          <w:szCs w:val="22"/>
          <w:lang w:val="en-ZA"/>
        </w:rPr>
        <w:t>202</w:t>
      </w:r>
      <w:r w:rsidR="20E3BB45" w:rsidRPr="00EB4FA2">
        <w:rPr>
          <w:rFonts w:ascii="Arial" w:hAnsi="Arial" w:cs="Arial"/>
          <w:sz w:val="22"/>
          <w:szCs w:val="22"/>
          <w:lang w:val="en-ZA"/>
        </w:rPr>
        <w:t>4</w:t>
      </w:r>
      <w:r w:rsidR="495BDCF3" w:rsidRPr="00EB4FA2">
        <w:rPr>
          <w:rFonts w:ascii="Arial" w:hAnsi="Arial" w:cs="Arial"/>
          <w:sz w:val="22"/>
          <w:szCs w:val="22"/>
          <w:lang w:val="en-ZA"/>
        </w:rPr>
        <w:t xml:space="preserve"> Draft TLAB and 202</w:t>
      </w:r>
      <w:r w:rsidR="2E6F085D" w:rsidRPr="00EB4FA2">
        <w:rPr>
          <w:rFonts w:ascii="Arial" w:hAnsi="Arial" w:cs="Arial"/>
          <w:sz w:val="22"/>
          <w:szCs w:val="22"/>
          <w:lang w:val="en-ZA"/>
        </w:rPr>
        <w:t>4</w:t>
      </w:r>
      <w:r w:rsidR="495BDCF3" w:rsidRPr="00EB4FA2">
        <w:rPr>
          <w:rFonts w:ascii="Arial" w:hAnsi="Arial" w:cs="Arial"/>
          <w:sz w:val="22"/>
          <w:szCs w:val="22"/>
          <w:lang w:val="en-ZA"/>
        </w:rPr>
        <w:t xml:space="preserve"> Draft TALAB </w:t>
      </w:r>
      <w:r w:rsidR="48D42F39" w:rsidRPr="00EB4FA2">
        <w:rPr>
          <w:rFonts w:ascii="Arial" w:hAnsi="Arial" w:cs="Arial"/>
          <w:sz w:val="22"/>
          <w:szCs w:val="22"/>
          <w:lang w:val="en-ZA"/>
        </w:rPr>
        <w:t xml:space="preserve">that </w:t>
      </w:r>
      <w:r w:rsidR="495BDCF3" w:rsidRPr="00EB4FA2">
        <w:rPr>
          <w:rFonts w:ascii="Arial" w:hAnsi="Arial" w:cs="Arial"/>
          <w:sz w:val="22"/>
          <w:szCs w:val="22"/>
          <w:lang w:val="en-ZA"/>
        </w:rPr>
        <w:t xml:space="preserve">were published for public comment on </w:t>
      </w:r>
      <w:r w:rsidR="5A54B395" w:rsidRPr="00EB4FA2">
        <w:rPr>
          <w:rFonts w:ascii="Arial" w:hAnsi="Arial" w:cs="Arial"/>
          <w:sz w:val="22"/>
          <w:szCs w:val="22"/>
          <w:lang w:val="en-ZA"/>
        </w:rPr>
        <w:t>1</w:t>
      </w:r>
      <w:r w:rsidR="495BDCF3" w:rsidRPr="00EB4FA2">
        <w:rPr>
          <w:rFonts w:ascii="Arial" w:hAnsi="Arial" w:cs="Arial"/>
          <w:sz w:val="22"/>
          <w:szCs w:val="22"/>
          <w:lang w:val="en-ZA"/>
        </w:rPr>
        <w:t xml:space="preserve"> </w:t>
      </w:r>
      <w:r w:rsidR="146F6198" w:rsidRPr="00EB4FA2">
        <w:rPr>
          <w:rFonts w:ascii="Arial" w:hAnsi="Arial" w:cs="Arial"/>
          <w:sz w:val="22"/>
          <w:szCs w:val="22"/>
          <w:lang w:val="en-ZA"/>
        </w:rPr>
        <w:t>August</w:t>
      </w:r>
      <w:r w:rsidR="495BDCF3" w:rsidRPr="00EB4FA2">
        <w:rPr>
          <w:rFonts w:ascii="Arial" w:hAnsi="Arial" w:cs="Arial"/>
          <w:sz w:val="22"/>
          <w:szCs w:val="22"/>
          <w:lang w:val="en-ZA"/>
        </w:rPr>
        <w:t xml:space="preserve"> 202</w:t>
      </w:r>
      <w:r w:rsidR="6FBE5C7B" w:rsidRPr="00EB4FA2">
        <w:rPr>
          <w:rFonts w:ascii="Arial" w:hAnsi="Arial" w:cs="Arial"/>
          <w:sz w:val="22"/>
          <w:szCs w:val="22"/>
          <w:lang w:val="en-ZA"/>
        </w:rPr>
        <w:t>4</w:t>
      </w:r>
      <w:r w:rsidR="495BDCF3" w:rsidRPr="00EB4FA2">
        <w:rPr>
          <w:rFonts w:ascii="Arial" w:hAnsi="Arial" w:cs="Arial"/>
          <w:sz w:val="22"/>
          <w:szCs w:val="22"/>
          <w:lang w:val="en-ZA"/>
        </w:rPr>
        <w:t xml:space="preserve"> as well as a summary of all the written and oral presentations made during public hearings on th</w:t>
      </w:r>
      <w:r w:rsidR="490DC788" w:rsidRPr="00EB4FA2">
        <w:rPr>
          <w:rFonts w:ascii="Arial" w:hAnsi="Arial" w:cs="Arial"/>
          <w:sz w:val="22"/>
          <w:szCs w:val="22"/>
          <w:lang w:val="en-ZA"/>
        </w:rPr>
        <w:t xml:space="preserve">ese Bills </w:t>
      </w:r>
      <w:r w:rsidR="495BDCF3" w:rsidRPr="00EB4FA2">
        <w:rPr>
          <w:rFonts w:ascii="Arial" w:hAnsi="Arial" w:cs="Arial"/>
          <w:sz w:val="22"/>
          <w:szCs w:val="22"/>
          <w:lang w:val="en-ZA"/>
        </w:rPr>
        <w:t>held by the SCOF on 1</w:t>
      </w:r>
      <w:r w:rsidR="77F8EEEA" w:rsidRPr="00EB4FA2">
        <w:rPr>
          <w:rFonts w:ascii="Arial" w:hAnsi="Arial" w:cs="Arial"/>
          <w:sz w:val="22"/>
          <w:szCs w:val="22"/>
          <w:lang w:val="en-ZA"/>
        </w:rPr>
        <w:t>7</w:t>
      </w:r>
      <w:r w:rsidR="495BDCF3" w:rsidRPr="00EB4FA2">
        <w:rPr>
          <w:rFonts w:ascii="Arial" w:hAnsi="Arial" w:cs="Arial"/>
          <w:sz w:val="22"/>
          <w:szCs w:val="22"/>
          <w:lang w:val="en-ZA"/>
        </w:rPr>
        <w:t xml:space="preserve"> September 202</w:t>
      </w:r>
      <w:r w:rsidR="12F64F82" w:rsidRPr="00EB4FA2">
        <w:rPr>
          <w:rFonts w:ascii="Arial" w:hAnsi="Arial" w:cs="Arial"/>
          <w:sz w:val="22"/>
          <w:szCs w:val="22"/>
          <w:lang w:val="en-ZA"/>
        </w:rPr>
        <w:t>4</w:t>
      </w:r>
      <w:r w:rsidR="4D794111" w:rsidRPr="00EB4FA2">
        <w:rPr>
          <w:rFonts w:ascii="Arial" w:hAnsi="Arial" w:cs="Arial"/>
          <w:sz w:val="22"/>
          <w:szCs w:val="22"/>
          <w:lang w:val="en-ZA"/>
        </w:rPr>
        <w:t>.</w:t>
      </w:r>
    </w:p>
    <w:p w14:paraId="052916DF" w14:textId="2CE8ABD0" w:rsidR="00CC3530" w:rsidRPr="00EB4FA2" w:rsidRDefault="182EB34D" w:rsidP="251BE3F0">
      <w:pPr>
        <w:pStyle w:val="4Comment"/>
        <w:jc w:val="center"/>
        <w:rPr>
          <w:b/>
          <w:bCs/>
          <w:sz w:val="28"/>
          <w:szCs w:val="28"/>
        </w:rPr>
      </w:pPr>
      <w:r w:rsidRPr="00EB4FA2">
        <w:rPr>
          <w:b/>
          <w:bCs/>
          <w:sz w:val="28"/>
          <w:szCs w:val="28"/>
        </w:rPr>
        <w:t>202</w:t>
      </w:r>
      <w:r w:rsidR="4FFA2D82" w:rsidRPr="00EB4FA2">
        <w:rPr>
          <w:b/>
          <w:bCs/>
          <w:sz w:val="28"/>
          <w:szCs w:val="28"/>
        </w:rPr>
        <w:t>4</w:t>
      </w:r>
      <w:r w:rsidRPr="00EB4FA2">
        <w:rPr>
          <w:b/>
          <w:bCs/>
          <w:sz w:val="28"/>
          <w:szCs w:val="28"/>
        </w:rPr>
        <w:t xml:space="preserve"> Draft Revenue Laws Amendment Bill</w:t>
      </w:r>
    </w:p>
    <w:p w14:paraId="1D5C5589" w14:textId="3130A250" w:rsidR="00CC3530" w:rsidRPr="00EB4FA2" w:rsidRDefault="44CFC1D5" w:rsidP="003F111D">
      <w:pPr>
        <w:pStyle w:val="1Section"/>
        <w:numPr>
          <w:ilvl w:val="0"/>
          <w:numId w:val="37"/>
        </w:numPr>
        <w:spacing w:line="276" w:lineRule="auto"/>
        <w:ind w:left="450" w:hanging="360"/>
        <w:rPr>
          <w:szCs w:val="24"/>
        </w:rPr>
      </w:pPr>
      <w:bookmarkStart w:id="22" w:name="_Hlk180333294"/>
      <w:bookmarkStart w:id="23" w:name="_Toc189212092"/>
      <w:r w:rsidRPr="00EB4FA2">
        <w:t>TWO-POTS RETIREMENT SYSTEM</w:t>
      </w:r>
      <w:bookmarkEnd w:id="22"/>
      <w:bookmarkEnd w:id="23"/>
    </w:p>
    <w:p w14:paraId="0BBC8570" w14:textId="3EC0EC81" w:rsidR="00CC3530" w:rsidRPr="003F111D" w:rsidRDefault="44CFC1D5" w:rsidP="00167F84">
      <w:pPr>
        <w:pStyle w:val="Heading3"/>
        <w:numPr>
          <w:ilvl w:val="1"/>
          <w:numId w:val="37"/>
        </w:numPr>
        <w:tabs>
          <w:tab w:val="left" w:pos="961"/>
        </w:tabs>
        <w:spacing w:before="151"/>
        <w:rPr>
          <w:sz w:val="22"/>
          <w:szCs w:val="22"/>
          <w:lang w:val="en-ZA"/>
        </w:rPr>
      </w:pPr>
      <w:bookmarkStart w:id="24" w:name="_Toc189212093"/>
      <w:r w:rsidRPr="003F111D">
        <w:rPr>
          <w:sz w:val="22"/>
          <w:szCs w:val="22"/>
          <w:lang w:val="en-ZA"/>
        </w:rPr>
        <w:t>Two-pots retirement system</w:t>
      </w:r>
      <w:bookmarkEnd w:id="24"/>
      <w:r w:rsidRPr="003F111D">
        <w:rPr>
          <w:sz w:val="22"/>
          <w:szCs w:val="22"/>
          <w:lang w:val="en-ZA"/>
        </w:rPr>
        <w:t xml:space="preserve"> </w:t>
      </w:r>
    </w:p>
    <w:p w14:paraId="3C5BFA1D" w14:textId="01CEF496" w:rsidR="00CC3530" w:rsidRPr="003F111D" w:rsidRDefault="182EB34D" w:rsidP="003F111D">
      <w:pPr>
        <w:pStyle w:val="BodyText"/>
        <w:spacing w:before="168" w:line="235" w:lineRule="auto"/>
        <w:ind w:left="450" w:right="208"/>
        <w:jc w:val="both"/>
        <w:rPr>
          <w:rFonts w:ascii="Arial" w:hAnsi="Arial" w:cs="Arial"/>
          <w:sz w:val="22"/>
          <w:szCs w:val="22"/>
          <w:lang w:val="en-ZA"/>
        </w:rPr>
      </w:pPr>
      <w:r w:rsidRPr="003F111D">
        <w:rPr>
          <w:rFonts w:ascii="Arial" w:hAnsi="Arial" w:cs="Arial"/>
          <w:sz w:val="22"/>
          <w:szCs w:val="22"/>
          <w:lang w:val="en-ZA"/>
        </w:rPr>
        <w:t xml:space="preserve">(Main reference: </w:t>
      </w:r>
      <w:bookmarkStart w:id="25" w:name="_Hlk180383189"/>
      <w:r w:rsidR="44CFC1D5" w:rsidRPr="003F111D">
        <w:rPr>
          <w:rFonts w:ascii="Arial" w:hAnsi="Arial" w:cs="Arial"/>
          <w:sz w:val="22"/>
          <w:szCs w:val="22"/>
          <w:lang w:val="en-ZA"/>
        </w:rPr>
        <w:t>Draft Revenue Laws Amendment Bill</w:t>
      </w:r>
      <w:bookmarkEnd w:id="25"/>
      <w:r w:rsidRPr="003F111D">
        <w:rPr>
          <w:rFonts w:ascii="Arial" w:hAnsi="Arial" w:cs="Arial"/>
          <w:sz w:val="22"/>
          <w:szCs w:val="22"/>
          <w:lang w:val="en-ZA"/>
        </w:rPr>
        <w:t>)</w:t>
      </w:r>
    </w:p>
    <w:p w14:paraId="10254EA4" w14:textId="113E00D4" w:rsidR="0045547E" w:rsidRPr="003F111D" w:rsidRDefault="0045547E" w:rsidP="5BCFEF27">
      <w:pPr>
        <w:pStyle w:val="BodyText"/>
        <w:spacing w:before="168" w:line="235" w:lineRule="auto"/>
        <w:ind w:left="492" w:right="208"/>
        <w:jc w:val="both"/>
        <w:rPr>
          <w:rFonts w:ascii="Arial"/>
          <w:lang w:val="en-ZA"/>
        </w:rPr>
      </w:pPr>
      <w:r w:rsidRPr="003F111D">
        <w:rPr>
          <w:rFonts w:ascii="Arial" w:hAnsi="Arial" w:cs="Arial"/>
          <w:sz w:val="22"/>
          <w:szCs w:val="22"/>
          <w:lang w:val="en-ZA"/>
        </w:rPr>
        <w:t xml:space="preserve">In 2023, Government proposed a further reform to the retirement saving regime to introduce the so-called “two-pots” retirement system from 1 September 2024. In terms of this reform, retirement savings </w:t>
      </w:r>
      <w:r w:rsidR="004C639D">
        <w:rPr>
          <w:rFonts w:ascii="Arial" w:hAnsi="Arial" w:cs="Arial"/>
          <w:sz w:val="22"/>
          <w:szCs w:val="22"/>
          <w:lang w:val="en-ZA"/>
        </w:rPr>
        <w:t>are</w:t>
      </w:r>
      <w:r w:rsidRPr="003F111D">
        <w:rPr>
          <w:rFonts w:ascii="Arial" w:hAnsi="Arial" w:cs="Arial"/>
          <w:sz w:val="22"/>
          <w:szCs w:val="22"/>
          <w:lang w:val="en-ZA"/>
        </w:rPr>
        <w:t xml:space="preserve"> split into a “vested component”, “savings component” and “retirement component”. The 2024 Draft Revenue Laws Amendment Bill contain the following main changes</w:t>
      </w:r>
      <w:r w:rsidRPr="003F111D">
        <w:rPr>
          <w:rFonts w:ascii="Arial"/>
          <w:lang w:val="en-ZA"/>
        </w:rPr>
        <w:t xml:space="preserve">: </w:t>
      </w:r>
    </w:p>
    <w:p w14:paraId="1EECA643" w14:textId="2C9B0C6C" w:rsidR="0045547E" w:rsidRPr="003F111D" w:rsidRDefault="0045547E" w:rsidP="0045547E">
      <w:pPr>
        <w:pStyle w:val="BodyText"/>
        <w:numPr>
          <w:ilvl w:val="0"/>
          <w:numId w:val="69"/>
        </w:numPr>
        <w:spacing w:before="168" w:line="235" w:lineRule="auto"/>
        <w:ind w:right="208"/>
        <w:jc w:val="both"/>
        <w:rPr>
          <w:rFonts w:ascii="Arial" w:hAnsi="Arial" w:cs="Arial"/>
          <w:sz w:val="22"/>
          <w:szCs w:val="22"/>
          <w:lang w:val="en-ZA"/>
        </w:rPr>
      </w:pPr>
      <w:r w:rsidRPr="003F111D">
        <w:rPr>
          <w:rFonts w:ascii="Arial" w:hAnsi="Arial" w:cs="Arial"/>
          <w:sz w:val="22"/>
          <w:szCs w:val="22"/>
          <w:lang w:val="en-ZA"/>
        </w:rPr>
        <w:t>Despite the 2023 enhancements to the two-pot regime, further adjustments are needed to clarify the language. Clarification of the definitions of the members' interests in the three components that the components must be reduced proportionally by the various section 37D deductions</w:t>
      </w:r>
    </w:p>
    <w:p w14:paraId="6ADF6030" w14:textId="77777777" w:rsidR="0045547E" w:rsidRPr="003F111D" w:rsidRDefault="0045547E" w:rsidP="0045547E">
      <w:pPr>
        <w:pStyle w:val="BodyText"/>
        <w:numPr>
          <w:ilvl w:val="0"/>
          <w:numId w:val="69"/>
        </w:numPr>
        <w:spacing w:before="168" w:line="235" w:lineRule="auto"/>
        <w:ind w:right="208"/>
        <w:jc w:val="both"/>
        <w:rPr>
          <w:rFonts w:ascii="Arial" w:hAnsi="Arial" w:cs="Arial"/>
          <w:sz w:val="22"/>
          <w:szCs w:val="22"/>
          <w:lang w:val="en-ZA"/>
        </w:rPr>
      </w:pPr>
      <w:r w:rsidRPr="003F111D">
        <w:rPr>
          <w:rFonts w:ascii="Arial" w:hAnsi="Arial" w:cs="Arial"/>
          <w:sz w:val="22"/>
          <w:szCs w:val="22"/>
          <w:lang w:val="en-ZA"/>
        </w:rPr>
        <w:t xml:space="preserve">To simplify the directives system for administrators and SARS and to facilitate quick implementation, it is unnecessary to obtain a directive when transferring the seeding amount from the “vested component” to the “savings component,” as tax is only imposed on withdrawals from the “savings component.” </w:t>
      </w:r>
    </w:p>
    <w:p w14:paraId="00F876A1" w14:textId="77777777" w:rsidR="0045547E" w:rsidRPr="003F111D" w:rsidRDefault="0045547E" w:rsidP="0045547E">
      <w:pPr>
        <w:pStyle w:val="BodyText"/>
        <w:numPr>
          <w:ilvl w:val="0"/>
          <w:numId w:val="69"/>
        </w:numPr>
        <w:spacing w:before="168" w:line="235" w:lineRule="auto"/>
        <w:ind w:right="208"/>
        <w:jc w:val="both"/>
        <w:rPr>
          <w:rFonts w:ascii="Arial" w:hAnsi="Arial" w:cs="Arial"/>
          <w:sz w:val="22"/>
          <w:szCs w:val="22"/>
          <w:lang w:val="en-ZA"/>
        </w:rPr>
      </w:pPr>
      <w:r w:rsidRPr="003F111D">
        <w:rPr>
          <w:rFonts w:ascii="Arial" w:hAnsi="Arial" w:cs="Arial"/>
          <w:sz w:val="22"/>
          <w:szCs w:val="22"/>
          <w:lang w:val="en-ZA"/>
        </w:rPr>
        <w:t xml:space="preserve">The requirements for ceasing to be a resident should still apply to preservation funds, retirement annuity funds, and the retirement components of pension and provident funds. The savings component is excluded because it can be accessed at any time before retirement. </w:t>
      </w:r>
    </w:p>
    <w:p w14:paraId="34D241D4" w14:textId="77777777" w:rsidR="0045547E" w:rsidRPr="003F111D" w:rsidRDefault="0045547E" w:rsidP="0045547E">
      <w:pPr>
        <w:pStyle w:val="BodyText"/>
        <w:numPr>
          <w:ilvl w:val="0"/>
          <w:numId w:val="69"/>
        </w:numPr>
        <w:spacing w:before="168" w:line="235" w:lineRule="auto"/>
        <w:ind w:right="208"/>
        <w:jc w:val="both"/>
        <w:rPr>
          <w:rFonts w:ascii="Arial" w:hAnsi="Arial" w:cs="Arial"/>
          <w:sz w:val="22"/>
          <w:szCs w:val="22"/>
          <w:lang w:val="en-ZA"/>
        </w:rPr>
      </w:pPr>
      <w:r w:rsidRPr="003F111D">
        <w:rPr>
          <w:rFonts w:ascii="Arial" w:hAnsi="Arial" w:cs="Arial"/>
          <w:sz w:val="22"/>
          <w:szCs w:val="22"/>
          <w:lang w:val="en-ZA"/>
        </w:rPr>
        <w:t xml:space="preserve">Consequential amendments are needed to exclude the “savings withdrawal benefit” from the liability for the Skills Development Levy and Unemployment Insurance Contributions payable by members. </w:t>
      </w:r>
    </w:p>
    <w:p w14:paraId="517606C6" w14:textId="0977EA56" w:rsidR="003E5C64" w:rsidRPr="003F111D" w:rsidRDefault="009E6515" w:rsidP="003F111D">
      <w:pPr>
        <w:pStyle w:val="BodyText"/>
        <w:numPr>
          <w:ilvl w:val="0"/>
          <w:numId w:val="69"/>
        </w:numPr>
        <w:spacing w:before="168" w:line="235" w:lineRule="auto"/>
        <w:ind w:right="208"/>
        <w:jc w:val="both"/>
        <w:rPr>
          <w:rFonts w:ascii="Arial"/>
          <w:lang w:val="en-ZA"/>
        </w:rPr>
      </w:pPr>
      <w:r w:rsidRPr="003F111D">
        <w:rPr>
          <w:rFonts w:ascii="Arial" w:hAnsi="Arial" w:cs="Arial"/>
          <w:sz w:val="22"/>
          <w:szCs w:val="22"/>
          <w:lang w:val="en-ZA"/>
        </w:rPr>
        <w:t>Clarification of the definition of retirement component in respect of provident fund members over age 55 on 1 March 2021 who elect to contribute to the savings and retirement components.</w:t>
      </w:r>
      <w:bookmarkStart w:id="26" w:name="_Hlk146808506"/>
    </w:p>
    <w:p w14:paraId="789FDF02" w14:textId="77777777" w:rsidR="00831915" w:rsidRPr="003F111D" w:rsidRDefault="00831915" w:rsidP="251BE3F0">
      <w:pPr>
        <w:pStyle w:val="BodyText"/>
        <w:spacing w:line="271" w:lineRule="auto"/>
        <w:ind w:left="831" w:right="152"/>
        <w:jc w:val="both"/>
        <w:rPr>
          <w:rFonts w:ascii="Arial"/>
          <w:lang w:val="en-ZA"/>
        </w:rPr>
      </w:pPr>
    </w:p>
    <w:p w14:paraId="364F833D" w14:textId="728CDA58" w:rsidR="00831915" w:rsidRPr="003F111D" w:rsidRDefault="00831915" w:rsidP="00831915">
      <w:pPr>
        <w:pStyle w:val="BodyText"/>
        <w:rPr>
          <w:b/>
          <w:bCs/>
          <w:sz w:val="22"/>
          <w:szCs w:val="22"/>
          <w:lang w:val="en-ZA"/>
        </w:rPr>
      </w:pPr>
      <w:bookmarkStart w:id="27" w:name="_Hlk180398210"/>
      <w:r w:rsidRPr="003F111D">
        <w:rPr>
          <w:b/>
          <w:bCs/>
          <w:sz w:val="22"/>
          <w:szCs w:val="22"/>
          <w:lang w:val="en-ZA"/>
        </w:rPr>
        <w:t>Broader retirement policy matters</w:t>
      </w:r>
    </w:p>
    <w:bookmarkEnd w:id="27"/>
    <w:p w14:paraId="6098CE40" w14:textId="77777777" w:rsidR="007D1066" w:rsidRPr="00EB4FA2" w:rsidRDefault="007D1066" w:rsidP="007D1066">
      <w:pPr>
        <w:pStyle w:val="BodyText"/>
        <w:rPr>
          <w:b/>
          <w:bCs/>
          <w:sz w:val="20"/>
          <w:szCs w:val="20"/>
          <w:lang w:val="en-ZA"/>
        </w:rPr>
      </w:pPr>
    </w:p>
    <w:p w14:paraId="3A922730" w14:textId="32083012" w:rsidR="00831915" w:rsidRPr="003F111D" w:rsidRDefault="00831915" w:rsidP="00831915">
      <w:pPr>
        <w:pStyle w:val="BodyText"/>
        <w:spacing w:line="271" w:lineRule="auto"/>
        <w:ind w:left="492" w:right="153"/>
        <w:jc w:val="both"/>
        <w:rPr>
          <w:rFonts w:ascii="Arial" w:hAnsi="Arial" w:cs="Arial"/>
          <w:sz w:val="22"/>
          <w:szCs w:val="22"/>
          <w:lang w:val="en-ZA"/>
        </w:rPr>
      </w:pPr>
      <w:r w:rsidRPr="003F111D">
        <w:rPr>
          <w:rFonts w:ascii="Arial" w:hAnsi="Arial" w:cs="Arial"/>
          <w:i/>
          <w:sz w:val="22"/>
          <w:szCs w:val="22"/>
          <w:lang w:val="en-ZA"/>
        </w:rPr>
        <w:t>Comment</w:t>
      </w:r>
      <w:r w:rsidRPr="00EB4FA2">
        <w:rPr>
          <w:rFonts w:ascii="Arial"/>
          <w:i/>
          <w:iCs/>
          <w:lang w:val="en-ZA"/>
        </w:rPr>
        <w:t>:</w:t>
      </w:r>
      <w:r w:rsidRPr="00EB4FA2">
        <w:rPr>
          <w:rFonts w:ascii="Arial"/>
          <w:i/>
          <w:iCs/>
          <w:spacing w:val="-7"/>
          <w:lang w:val="en-ZA"/>
        </w:rPr>
        <w:t xml:space="preserve"> </w:t>
      </w:r>
      <w:r w:rsidRPr="003F111D">
        <w:rPr>
          <w:rFonts w:ascii="Arial" w:hAnsi="Arial" w:cs="Arial"/>
          <w:sz w:val="22"/>
          <w:szCs w:val="22"/>
          <w:lang w:val="en-ZA"/>
        </w:rPr>
        <w:t>While the immediate relief of up to R30,000 is appreciated, many workers find it insufficient to significantly reduce their high debt levels, pay off their debts, free up income for family needs, or eliminate the temptation to resign to cash out and settle large debts. Workers require a larger amount to escape debt. Both pension funds and the government are concerned about the impact of resignations on savings.</w:t>
      </w:r>
    </w:p>
    <w:p w14:paraId="13F63B99" w14:textId="77777777" w:rsidR="00831915" w:rsidRPr="00EB4FA2" w:rsidRDefault="00831915" w:rsidP="00831915">
      <w:pPr>
        <w:pStyle w:val="BodyText"/>
        <w:spacing w:line="271" w:lineRule="auto"/>
        <w:ind w:left="492" w:right="153"/>
        <w:jc w:val="both"/>
        <w:rPr>
          <w:lang w:val="en-ZA"/>
        </w:rPr>
      </w:pPr>
    </w:p>
    <w:p w14:paraId="68592A48" w14:textId="118DA6F4" w:rsidR="00831915" w:rsidRPr="00EB4FA2" w:rsidRDefault="00831915" w:rsidP="00831915">
      <w:pPr>
        <w:pStyle w:val="BodyText"/>
        <w:spacing w:line="271" w:lineRule="auto"/>
        <w:ind w:left="831" w:right="152"/>
        <w:jc w:val="both"/>
        <w:rPr>
          <w:rFonts w:ascii="Arial"/>
          <w:lang w:val="en-ZA"/>
        </w:rPr>
      </w:pPr>
      <w:r w:rsidRPr="003F111D">
        <w:rPr>
          <w:rFonts w:ascii="Arial" w:hAnsi="Arial" w:cs="Arial"/>
          <w:i/>
          <w:sz w:val="22"/>
          <w:szCs w:val="22"/>
          <w:lang w:val="en-ZA"/>
        </w:rPr>
        <w:t>Response</w:t>
      </w:r>
      <w:r w:rsidRPr="003F111D">
        <w:rPr>
          <w:rFonts w:ascii="Arial"/>
          <w:i/>
          <w:iCs/>
          <w:lang w:val="en-ZA"/>
        </w:rPr>
        <w:t>:</w:t>
      </w:r>
      <w:r w:rsidRPr="003F111D">
        <w:rPr>
          <w:rFonts w:ascii="Arial" w:hAnsi="Arial" w:cs="Arial"/>
          <w:sz w:val="22"/>
          <w:szCs w:val="22"/>
          <w:lang w:val="en-ZA"/>
        </w:rPr>
        <w:t xml:space="preserve"> </w:t>
      </w:r>
      <w:r w:rsidRPr="003F111D">
        <w:rPr>
          <w:rFonts w:ascii="Arial" w:hAnsi="Arial" w:cs="Arial"/>
          <w:sz w:val="22"/>
          <w:szCs w:val="22"/>
          <w:u w:val="single"/>
          <w:lang w:val="en-ZA"/>
        </w:rPr>
        <w:t>Noted</w:t>
      </w:r>
      <w:r w:rsidRPr="003F111D">
        <w:rPr>
          <w:rFonts w:ascii="Arial" w:hAnsi="Arial" w:cs="Arial"/>
          <w:sz w:val="22"/>
          <w:szCs w:val="22"/>
          <w:lang w:val="en-ZA"/>
        </w:rPr>
        <w:t>.</w:t>
      </w:r>
      <w:r w:rsidR="002E7EBB">
        <w:rPr>
          <w:rFonts w:ascii="Arial" w:hAnsi="Arial" w:cs="Arial"/>
          <w:sz w:val="22"/>
          <w:szCs w:val="22"/>
          <w:lang w:val="en-ZA"/>
        </w:rPr>
        <w:t xml:space="preserve"> </w:t>
      </w:r>
      <w:r w:rsidR="002E7EBB" w:rsidRPr="002E7EBB">
        <w:rPr>
          <w:rFonts w:ascii="Arial" w:hAnsi="Arial" w:cs="Arial"/>
          <w:sz w:val="22"/>
          <w:szCs w:val="22"/>
          <w:lang w:val="en-GB"/>
        </w:rPr>
        <w:t xml:space="preserve">The National Treasury has received several policy recommendations from policy actors affected by the two-pot system or retirement reforms in general. Any future refinements relating to tax policy on retirement will be considered by government through policy options which incorporate thorough public consultation and engagement.   </w:t>
      </w:r>
    </w:p>
    <w:p w14:paraId="3AA8816F" w14:textId="77777777" w:rsidR="00831915" w:rsidRPr="003F111D" w:rsidRDefault="00831915" w:rsidP="251BE3F0">
      <w:pPr>
        <w:pStyle w:val="BodyText"/>
        <w:spacing w:line="271" w:lineRule="auto"/>
        <w:ind w:left="831" w:right="152"/>
        <w:jc w:val="both"/>
        <w:rPr>
          <w:rFonts w:ascii="Arial"/>
          <w:lang w:val="en-ZA"/>
        </w:rPr>
      </w:pPr>
    </w:p>
    <w:p w14:paraId="35E0D3C6" w14:textId="753C1770" w:rsidR="00831915" w:rsidRPr="003F111D" w:rsidRDefault="00831915" w:rsidP="00831915">
      <w:pPr>
        <w:pStyle w:val="BodyText"/>
        <w:spacing w:line="271" w:lineRule="auto"/>
        <w:ind w:left="492" w:right="153"/>
        <w:jc w:val="both"/>
        <w:rPr>
          <w:rFonts w:ascii="Arial" w:hAnsi="Arial" w:cs="Arial"/>
          <w:sz w:val="22"/>
          <w:szCs w:val="22"/>
          <w:lang w:val="en-ZA"/>
        </w:rPr>
      </w:pPr>
      <w:r w:rsidRPr="003F111D">
        <w:rPr>
          <w:rFonts w:ascii="Arial" w:hAnsi="Arial" w:cs="Arial"/>
          <w:i/>
          <w:sz w:val="22"/>
          <w:szCs w:val="22"/>
          <w:lang w:val="en-ZA"/>
        </w:rPr>
        <w:t>Comment</w:t>
      </w:r>
      <w:r w:rsidRPr="00EB4FA2">
        <w:rPr>
          <w:rFonts w:ascii="Arial"/>
          <w:i/>
          <w:iCs/>
          <w:lang w:val="en-ZA"/>
        </w:rPr>
        <w:t>:</w:t>
      </w:r>
      <w:r w:rsidRPr="00EB4FA2">
        <w:rPr>
          <w:rFonts w:ascii="Arial"/>
          <w:i/>
          <w:iCs/>
          <w:spacing w:val="-7"/>
          <w:lang w:val="en-ZA"/>
        </w:rPr>
        <w:t xml:space="preserve"> </w:t>
      </w:r>
      <w:r w:rsidRPr="003F111D">
        <w:rPr>
          <w:rFonts w:ascii="Arial" w:hAnsi="Arial" w:cs="Arial"/>
          <w:sz w:val="22"/>
          <w:szCs w:val="22"/>
          <w:lang w:val="en-ZA"/>
        </w:rPr>
        <w:t>Workers be allowed to choose how much to transfer from their vested rights pot to the new two pot regime, along the two thirds/ one third split.</w:t>
      </w:r>
    </w:p>
    <w:p w14:paraId="0197A90D" w14:textId="77777777" w:rsidR="00831915" w:rsidRPr="003F111D" w:rsidRDefault="00831915" w:rsidP="00831915">
      <w:pPr>
        <w:pStyle w:val="BodyText"/>
        <w:spacing w:line="271" w:lineRule="auto"/>
        <w:ind w:left="831" w:right="152"/>
        <w:jc w:val="both"/>
        <w:rPr>
          <w:rFonts w:ascii="Arial"/>
          <w:i/>
          <w:iCs/>
          <w:highlight w:val="yellow"/>
          <w:lang w:val="en-ZA"/>
        </w:rPr>
      </w:pPr>
    </w:p>
    <w:p w14:paraId="7851EB16" w14:textId="024AA082" w:rsidR="00831915" w:rsidRPr="003F111D" w:rsidRDefault="00831915" w:rsidP="00831915">
      <w:pPr>
        <w:pStyle w:val="BodyText"/>
        <w:spacing w:line="271" w:lineRule="auto"/>
        <w:ind w:left="831" w:right="152"/>
        <w:jc w:val="both"/>
        <w:rPr>
          <w:rFonts w:ascii="Arial" w:hAnsi="Arial" w:cs="Arial"/>
          <w:iCs/>
          <w:sz w:val="22"/>
          <w:szCs w:val="22"/>
          <w:lang w:val="en-ZA"/>
        </w:rPr>
      </w:pPr>
      <w:r w:rsidRPr="003F111D">
        <w:rPr>
          <w:rFonts w:ascii="Arial" w:hAnsi="Arial" w:cs="Arial"/>
          <w:i/>
          <w:sz w:val="22"/>
          <w:szCs w:val="22"/>
          <w:lang w:val="en-ZA"/>
        </w:rPr>
        <w:t xml:space="preserve">Response: </w:t>
      </w:r>
      <w:r w:rsidRPr="00403DF5">
        <w:rPr>
          <w:rFonts w:ascii="Arial" w:hAnsi="Arial" w:cs="Arial"/>
          <w:iCs/>
          <w:sz w:val="22"/>
          <w:szCs w:val="22"/>
          <w:u w:val="single"/>
          <w:lang w:val="en-ZA"/>
        </w:rPr>
        <w:t>Noted</w:t>
      </w:r>
      <w:r w:rsidRPr="003F111D">
        <w:rPr>
          <w:rFonts w:ascii="Arial" w:hAnsi="Arial" w:cs="Arial"/>
          <w:i/>
          <w:sz w:val="22"/>
          <w:szCs w:val="22"/>
          <w:lang w:val="en-ZA"/>
        </w:rPr>
        <w:t>.</w:t>
      </w:r>
      <w:r w:rsidR="001E74C1" w:rsidRPr="003F111D">
        <w:rPr>
          <w:rFonts w:ascii="Arial" w:hAnsi="Arial" w:cs="Arial"/>
          <w:iCs/>
          <w:sz w:val="22"/>
          <w:szCs w:val="22"/>
          <w:lang w:val="en-ZA"/>
        </w:rPr>
        <w:t xml:space="preserve"> The National Treasury has received several policy recommendations from policy actors affected by the two-pot system or retirement reforms in general. Any future refinements relating to tax policy on retirement will be considered by government through policy options which incorporate thorough public consultation and engagement.</w:t>
      </w:r>
    </w:p>
    <w:p w14:paraId="15EEA41E" w14:textId="77777777" w:rsidR="00831915" w:rsidRPr="003F111D" w:rsidRDefault="00831915" w:rsidP="251BE3F0">
      <w:pPr>
        <w:pStyle w:val="BodyText"/>
        <w:spacing w:line="271" w:lineRule="auto"/>
        <w:ind w:left="831" w:right="152"/>
        <w:jc w:val="both"/>
        <w:rPr>
          <w:rFonts w:ascii="Arial"/>
          <w:lang w:val="en-ZA"/>
        </w:rPr>
      </w:pPr>
    </w:p>
    <w:p w14:paraId="4C4B5BE9" w14:textId="18FED69F" w:rsidR="00831915" w:rsidRPr="003F111D" w:rsidRDefault="00831915" w:rsidP="00831915">
      <w:pPr>
        <w:pStyle w:val="BodyText"/>
        <w:spacing w:line="271" w:lineRule="auto"/>
        <w:ind w:left="492" w:right="153"/>
        <w:jc w:val="both"/>
        <w:rPr>
          <w:rFonts w:ascii="Arial"/>
          <w:lang w:val="en-ZA"/>
        </w:rPr>
      </w:pPr>
      <w:r w:rsidRPr="003F111D">
        <w:rPr>
          <w:rFonts w:ascii="Arial" w:hAnsi="Arial" w:cs="Arial"/>
          <w:i/>
          <w:sz w:val="22"/>
          <w:szCs w:val="22"/>
          <w:lang w:val="en-ZA"/>
        </w:rPr>
        <w:t>Comment</w:t>
      </w:r>
      <w:r w:rsidRPr="00EB4FA2">
        <w:rPr>
          <w:rFonts w:ascii="Arial"/>
          <w:i/>
          <w:iCs/>
          <w:lang w:val="en-ZA"/>
        </w:rPr>
        <w:t>:</w:t>
      </w:r>
      <w:r w:rsidRPr="00EB4FA2">
        <w:rPr>
          <w:rFonts w:ascii="Arial"/>
          <w:i/>
          <w:iCs/>
          <w:spacing w:val="-7"/>
          <w:lang w:val="en-ZA"/>
        </w:rPr>
        <w:t xml:space="preserve"> </w:t>
      </w:r>
      <w:r w:rsidR="007D1066" w:rsidRPr="003F111D">
        <w:rPr>
          <w:rFonts w:ascii="Arial" w:hAnsi="Arial" w:cs="Arial"/>
          <w:sz w:val="22"/>
          <w:szCs w:val="22"/>
          <w:lang w:val="en-ZA"/>
        </w:rPr>
        <w:t>Workers should be permitted to use their pension funds for education fees, similar to the provisions for home loans.</w:t>
      </w:r>
    </w:p>
    <w:p w14:paraId="0211D7E9" w14:textId="77777777" w:rsidR="00831915" w:rsidRPr="00EB4FA2" w:rsidRDefault="00831915" w:rsidP="00831915">
      <w:pPr>
        <w:pStyle w:val="BodyText"/>
        <w:spacing w:line="271" w:lineRule="auto"/>
        <w:ind w:left="492" w:right="153"/>
        <w:jc w:val="both"/>
        <w:rPr>
          <w:lang w:val="en-ZA"/>
        </w:rPr>
      </w:pPr>
    </w:p>
    <w:p w14:paraId="36227886" w14:textId="1ED34E66" w:rsidR="00AD4D3F" w:rsidRDefault="00831915" w:rsidP="00831915">
      <w:pPr>
        <w:pStyle w:val="BodyText"/>
        <w:spacing w:line="271" w:lineRule="auto"/>
        <w:ind w:left="831" w:right="152"/>
        <w:jc w:val="both"/>
        <w:rPr>
          <w:rFonts w:ascii="Arial"/>
        </w:rPr>
      </w:pPr>
      <w:r w:rsidRPr="003F111D">
        <w:rPr>
          <w:rFonts w:ascii="Arial"/>
          <w:i/>
          <w:iCs/>
          <w:lang w:val="en-ZA"/>
        </w:rPr>
        <w:t xml:space="preserve">Response: </w:t>
      </w:r>
      <w:r w:rsidRPr="003F111D">
        <w:rPr>
          <w:rFonts w:ascii="Arial"/>
          <w:u w:val="single"/>
          <w:lang w:val="en-ZA"/>
        </w:rPr>
        <w:t>Noted</w:t>
      </w:r>
      <w:r w:rsidRPr="00403DF5">
        <w:rPr>
          <w:rFonts w:ascii="Arial"/>
          <w:lang w:val="en-ZA"/>
        </w:rPr>
        <w:t>.</w:t>
      </w:r>
      <w:r w:rsidR="00212DBB">
        <w:rPr>
          <w:rFonts w:ascii="Arial"/>
          <w:lang w:val="en-ZA"/>
        </w:rPr>
        <w:t xml:space="preserve"> </w:t>
      </w:r>
      <w:r w:rsidR="00212DBB" w:rsidRPr="00A21360">
        <w:rPr>
          <w:rFonts w:ascii="Arial"/>
        </w:rPr>
        <w:t>The National Treasury has received several policy recommendations from policy actors affected by the two-pot system or retirement reforms in general. Any future refinements relating to tax policy on retirement will be considered by government through policy options which incorporate thorough public consultation and engagement</w:t>
      </w:r>
      <w:r w:rsidR="00AD4D3F">
        <w:rPr>
          <w:rFonts w:ascii="Arial"/>
        </w:rPr>
        <w:t>.</w:t>
      </w:r>
    </w:p>
    <w:p w14:paraId="31F7AE5B" w14:textId="77777777" w:rsidR="00AD4D3F" w:rsidRDefault="00AD4D3F" w:rsidP="00831915">
      <w:pPr>
        <w:pStyle w:val="BodyText"/>
        <w:spacing w:line="271" w:lineRule="auto"/>
        <w:ind w:left="831" w:right="152"/>
        <w:jc w:val="both"/>
        <w:rPr>
          <w:rFonts w:ascii="Arial"/>
          <w:lang w:val="en-ZA"/>
        </w:rPr>
      </w:pPr>
    </w:p>
    <w:p w14:paraId="3CC3CC4F" w14:textId="77777777" w:rsidR="00AD4D3F" w:rsidRPr="001A0A08" w:rsidRDefault="00AD4D3F" w:rsidP="00AD4D3F">
      <w:pPr>
        <w:pStyle w:val="BodyText"/>
        <w:spacing w:line="271" w:lineRule="auto"/>
        <w:ind w:left="492" w:right="153"/>
        <w:jc w:val="both"/>
        <w:rPr>
          <w:lang w:val="en-ZA"/>
        </w:rPr>
      </w:pPr>
      <w:r w:rsidRPr="5BCFEF27">
        <w:rPr>
          <w:rFonts w:ascii="Arial"/>
          <w:i/>
          <w:iCs/>
          <w:lang w:val="en-ZA"/>
        </w:rPr>
        <w:t>Comment:</w:t>
      </w:r>
      <w:r w:rsidRPr="0037727C">
        <w:t xml:space="preserve"> </w:t>
      </w:r>
      <w:r w:rsidRPr="0037727C">
        <w:rPr>
          <w:lang w:val="en-ZA"/>
        </w:rPr>
        <w:t>Should retirement calculations be based on each contract or each fund? An additional amendment is needed to clarify whether contracts should be handled individually or together upon retirement</w:t>
      </w:r>
      <w:r>
        <w:rPr>
          <w:lang w:val="en-ZA"/>
        </w:rPr>
        <w:t xml:space="preserve">. </w:t>
      </w:r>
    </w:p>
    <w:p w14:paraId="3E81C8B8" w14:textId="77777777" w:rsidR="00AD4D3F" w:rsidRPr="005B4D4C" w:rsidRDefault="00AD4D3F" w:rsidP="00AD4D3F">
      <w:pPr>
        <w:pStyle w:val="BodyText"/>
        <w:spacing w:line="271" w:lineRule="auto"/>
        <w:ind w:left="492" w:right="153"/>
        <w:jc w:val="both"/>
        <w:rPr>
          <w:rFonts w:ascii="Arial"/>
          <w:spacing w:val="-7"/>
        </w:rPr>
      </w:pPr>
    </w:p>
    <w:p w14:paraId="48AE6E70" w14:textId="0CD65C01" w:rsidR="00831915" w:rsidRPr="00EB4FA2" w:rsidRDefault="00AD4D3F" w:rsidP="00167F84">
      <w:pPr>
        <w:pStyle w:val="BodyText"/>
        <w:spacing w:line="271" w:lineRule="auto"/>
        <w:ind w:left="831" w:right="152"/>
        <w:jc w:val="both"/>
        <w:rPr>
          <w:rFonts w:ascii="Arial"/>
          <w:i/>
          <w:iCs/>
          <w:lang w:val="en-ZA"/>
        </w:rPr>
      </w:pPr>
      <w:r w:rsidRPr="00F64DC5">
        <w:rPr>
          <w:rFonts w:ascii="Arial"/>
          <w:i/>
          <w:iCs/>
        </w:rPr>
        <w:t xml:space="preserve">Response: </w:t>
      </w:r>
      <w:r w:rsidRPr="00F64DC5">
        <w:rPr>
          <w:rFonts w:ascii="Arial"/>
          <w:u w:val="single"/>
        </w:rPr>
        <w:t>Noted</w:t>
      </w:r>
      <w:r w:rsidRPr="003F111D">
        <w:rPr>
          <w:rFonts w:ascii="Arial"/>
        </w:rPr>
        <w:t xml:space="preserve">. </w:t>
      </w:r>
      <w:r w:rsidR="00403DF5" w:rsidRPr="00403DF5">
        <w:rPr>
          <w:rFonts w:ascii="Arial"/>
        </w:rPr>
        <w:t xml:space="preserve">The current policy decision remains unchanged in that the calculation is still being performed on a per fund basis on retirement from that fund. </w:t>
      </w:r>
    </w:p>
    <w:p w14:paraId="6781F599" w14:textId="77777777" w:rsidR="007D1066" w:rsidRPr="00EB4FA2" w:rsidRDefault="007D1066" w:rsidP="5BCFEF27">
      <w:pPr>
        <w:pStyle w:val="BodyText"/>
        <w:spacing w:line="271" w:lineRule="auto"/>
        <w:ind w:left="492" w:right="153"/>
        <w:jc w:val="both"/>
        <w:rPr>
          <w:rFonts w:ascii="Arial"/>
          <w:i/>
          <w:iCs/>
          <w:lang w:val="en-ZA"/>
        </w:rPr>
      </w:pPr>
    </w:p>
    <w:p w14:paraId="7A5E5BB9" w14:textId="6C0759AA" w:rsidR="007D1066" w:rsidRPr="003F111D" w:rsidRDefault="007D1066" w:rsidP="007D1066">
      <w:pPr>
        <w:pStyle w:val="BodyText"/>
        <w:rPr>
          <w:rFonts w:ascii="Arial" w:hAnsi="Arial" w:cs="Arial"/>
          <w:b/>
          <w:bCs/>
          <w:sz w:val="22"/>
          <w:szCs w:val="22"/>
          <w:lang w:val="en-ZA"/>
        </w:rPr>
      </w:pPr>
      <w:r w:rsidRPr="003F111D">
        <w:rPr>
          <w:rFonts w:ascii="Arial" w:hAnsi="Arial" w:cs="Arial"/>
          <w:b/>
          <w:bCs/>
          <w:sz w:val="22"/>
          <w:szCs w:val="22"/>
          <w:lang w:val="en-ZA"/>
        </w:rPr>
        <w:t xml:space="preserve">Technical comments </w:t>
      </w:r>
    </w:p>
    <w:p w14:paraId="5B3DB2BB" w14:textId="77777777" w:rsidR="007D1066" w:rsidRPr="00EB4FA2" w:rsidRDefault="007D1066" w:rsidP="003F111D">
      <w:pPr>
        <w:pStyle w:val="BodyText"/>
        <w:spacing w:line="271" w:lineRule="auto"/>
        <w:ind w:right="153"/>
        <w:jc w:val="both"/>
        <w:rPr>
          <w:rFonts w:ascii="Arial"/>
          <w:i/>
          <w:iCs/>
          <w:lang w:val="en-ZA"/>
        </w:rPr>
      </w:pPr>
    </w:p>
    <w:p w14:paraId="6FEBD8A1" w14:textId="01CA0AED" w:rsidR="003E5C64" w:rsidRPr="003F111D" w:rsidRDefault="30358FEE" w:rsidP="5BCFEF27">
      <w:pPr>
        <w:pStyle w:val="BodyText"/>
        <w:spacing w:line="271" w:lineRule="auto"/>
        <w:ind w:left="492" w:right="153"/>
        <w:jc w:val="both"/>
        <w:rPr>
          <w:rFonts w:ascii="Arial"/>
          <w:lang w:val="en-ZA"/>
        </w:rPr>
      </w:pPr>
      <w:r w:rsidRPr="003F111D">
        <w:rPr>
          <w:rFonts w:ascii="Arial" w:hAnsi="Arial" w:cs="Arial"/>
          <w:i/>
          <w:sz w:val="22"/>
          <w:szCs w:val="22"/>
          <w:lang w:val="en-ZA"/>
        </w:rPr>
        <w:t>Comment</w:t>
      </w:r>
      <w:r w:rsidRPr="00EB4FA2">
        <w:rPr>
          <w:rFonts w:ascii="Arial"/>
          <w:i/>
          <w:iCs/>
          <w:lang w:val="en-ZA"/>
        </w:rPr>
        <w:t>:</w:t>
      </w:r>
      <w:r w:rsidRPr="00EB4FA2">
        <w:rPr>
          <w:rFonts w:ascii="Arial"/>
          <w:i/>
          <w:iCs/>
          <w:spacing w:val="-7"/>
          <w:lang w:val="en-ZA"/>
        </w:rPr>
        <w:t xml:space="preserve"> </w:t>
      </w:r>
      <w:r w:rsidR="15C3472A" w:rsidRPr="003F111D">
        <w:rPr>
          <w:rFonts w:ascii="Arial" w:hAnsi="Arial" w:cs="Arial"/>
          <w:sz w:val="22"/>
          <w:szCs w:val="22"/>
          <w:lang w:val="en-ZA"/>
        </w:rPr>
        <w:t>The</w:t>
      </w:r>
      <w:r w:rsidR="56B93871" w:rsidRPr="003F111D">
        <w:rPr>
          <w:rFonts w:ascii="Arial" w:hAnsi="Arial" w:cs="Arial"/>
          <w:sz w:val="22"/>
          <w:szCs w:val="22"/>
          <w:lang w:val="en-ZA"/>
        </w:rPr>
        <w:t xml:space="preserve"> Bill’s definition of the savings component allows a retiring member to choose to take the remaining balance in the savings component as part of the retirement fund lump sum benefit, which will be taxed according to the rates for retirement fund lump sum benefits. If no cash is taken, the remaining balance will be added to the retirement component to purchase an annuity (as per paragraph (d) of the retirement component definition)</w:t>
      </w:r>
      <w:r w:rsidR="00EF0F29" w:rsidRPr="00EF0F29">
        <w:t xml:space="preserve"> </w:t>
      </w:r>
      <w:r w:rsidR="00EF0F29" w:rsidRPr="00EF0F29">
        <w:rPr>
          <w:rFonts w:ascii="Arial" w:hAnsi="Arial" w:cs="Arial"/>
          <w:sz w:val="22"/>
          <w:szCs w:val="22"/>
          <w:lang w:val="en-ZA"/>
        </w:rPr>
        <w:t>on retirement from the retirement fund</w:t>
      </w:r>
      <w:r w:rsidR="56B93871" w:rsidRPr="003F111D">
        <w:rPr>
          <w:rFonts w:ascii="Arial" w:hAnsi="Arial" w:cs="Arial"/>
          <w:sz w:val="22"/>
          <w:szCs w:val="22"/>
          <w:lang w:val="en-ZA"/>
        </w:rPr>
        <w:t>. It is suggested that the Bill explicitly allow for direct annuitisation from the savings component at retirement. Additionally, it is recommended that the wording of (g)(ii) be revised to clarify that any amount not paid as described in subparagraph (i)</w:t>
      </w:r>
      <w:r w:rsidR="0045547E" w:rsidRPr="003F111D">
        <w:rPr>
          <w:rFonts w:ascii="Arial" w:hAnsi="Arial" w:cs="Arial"/>
          <w:sz w:val="22"/>
          <w:szCs w:val="22"/>
          <w:lang w:val="en-ZA"/>
        </w:rPr>
        <w:t>.</w:t>
      </w:r>
      <w:r w:rsidR="0045547E" w:rsidRPr="003F111D">
        <w:rPr>
          <w:rFonts w:ascii="Arial"/>
          <w:lang w:val="en-ZA"/>
        </w:rPr>
        <w:t xml:space="preserve"> </w:t>
      </w:r>
    </w:p>
    <w:p w14:paraId="3CFCD452" w14:textId="047F6BA5" w:rsidR="003E5C64" w:rsidRPr="00EB4FA2" w:rsidRDefault="003E5C64" w:rsidP="003E5C64">
      <w:pPr>
        <w:pStyle w:val="BodyText"/>
        <w:spacing w:line="271" w:lineRule="auto"/>
        <w:ind w:left="492" w:right="153"/>
        <w:jc w:val="both"/>
        <w:rPr>
          <w:lang w:val="en-ZA"/>
        </w:rPr>
      </w:pPr>
    </w:p>
    <w:p w14:paraId="6B304898" w14:textId="379A42F1" w:rsidR="00DF690B" w:rsidRPr="00EB4FA2" w:rsidRDefault="30358FEE" w:rsidP="251BE3F0">
      <w:pPr>
        <w:pStyle w:val="BodyText"/>
        <w:spacing w:line="271" w:lineRule="auto"/>
        <w:ind w:left="831" w:right="152"/>
        <w:jc w:val="both"/>
        <w:rPr>
          <w:rFonts w:ascii="Arial"/>
          <w:lang w:val="en-ZA"/>
        </w:rPr>
      </w:pPr>
      <w:r w:rsidRPr="003F111D">
        <w:rPr>
          <w:rFonts w:ascii="Arial"/>
          <w:i/>
          <w:iCs/>
          <w:sz w:val="22"/>
          <w:szCs w:val="22"/>
          <w:lang w:val="en-ZA"/>
        </w:rPr>
        <w:t>Response</w:t>
      </w:r>
      <w:r w:rsidRPr="003F111D">
        <w:rPr>
          <w:rFonts w:ascii="Arial"/>
          <w:i/>
          <w:iCs/>
          <w:lang w:val="en-ZA"/>
        </w:rPr>
        <w:t xml:space="preserve">: </w:t>
      </w:r>
      <w:r w:rsidR="00C70E7E" w:rsidRPr="003F111D">
        <w:rPr>
          <w:rFonts w:ascii="Arial" w:hAnsi="Arial" w:cs="Arial"/>
          <w:sz w:val="22"/>
          <w:szCs w:val="22"/>
          <w:u w:val="single"/>
          <w:lang w:val="en-ZA"/>
        </w:rPr>
        <w:t>Accepted</w:t>
      </w:r>
      <w:r w:rsidR="00C70E7E" w:rsidRPr="003F111D">
        <w:rPr>
          <w:rFonts w:ascii="Arial" w:hAnsi="Arial" w:cs="Arial"/>
          <w:sz w:val="22"/>
          <w:szCs w:val="22"/>
          <w:lang w:val="en-ZA"/>
        </w:rPr>
        <w:t>. The</w:t>
      </w:r>
      <w:r w:rsidR="0781E8DF" w:rsidRPr="003F111D">
        <w:rPr>
          <w:rFonts w:ascii="Arial" w:hAnsi="Arial" w:cs="Arial"/>
          <w:sz w:val="22"/>
          <w:szCs w:val="22"/>
          <w:lang w:val="en-ZA"/>
        </w:rPr>
        <w:t xml:space="preserve"> </w:t>
      </w:r>
      <w:r w:rsidR="00EF0F29" w:rsidRPr="00EF0F29">
        <w:rPr>
          <w:rFonts w:ascii="Arial" w:hAnsi="Arial" w:cs="Arial"/>
          <w:sz w:val="22"/>
          <w:szCs w:val="22"/>
          <w:lang w:val="en-ZA"/>
        </w:rPr>
        <w:t xml:space="preserve">wording </w:t>
      </w:r>
      <w:r w:rsidR="0781E8DF" w:rsidRPr="003F111D">
        <w:rPr>
          <w:rFonts w:ascii="Arial" w:hAnsi="Arial" w:cs="Arial"/>
          <w:sz w:val="22"/>
          <w:szCs w:val="22"/>
          <w:lang w:val="en-ZA"/>
        </w:rPr>
        <w:t>will be revised to match the wording of the “savings component” definition as it appeared in the February 2024 version of the Draft Revenue Laws Second Amendment Bill.</w:t>
      </w:r>
      <w:r w:rsidR="00EF0F29" w:rsidRPr="00EF0F29">
        <w:t xml:space="preserve"> </w:t>
      </w:r>
      <w:r w:rsidR="00EF0F29" w:rsidRPr="00EF0F29">
        <w:rPr>
          <w:rFonts w:ascii="Arial" w:hAnsi="Arial" w:cs="Arial"/>
          <w:sz w:val="22"/>
          <w:szCs w:val="22"/>
          <w:lang w:val="en-ZA"/>
        </w:rPr>
        <w:t>Current policy is that no direct purchase /payment of annuities on retirement from the savings component will be permitted.</w:t>
      </w:r>
    </w:p>
    <w:p w14:paraId="4A6A2574" w14:textId="365DD2A6" w:rsidR="003E5C64" w:rsidRPr="003F111D" w:rsidRDefault="003E5C64" w:rsidP="251BE3F0">
      <w:pPr>
        <w:pStyle w:val="BodyText"/>
        <w:spacing w:line="271" w:lineRule="auto"/>
        <w:ind w:left="831" w:right="152"/>
        <w:jc w:val="both"/>
        <w:rPr>
          <w:rFonts w:ascii="Arial"/>
          <w:lang w:val="en-ZA"/>
        </w:rPr>
      </w:pPr>
    </w:p>
    <w:p w14:paraId="7E0CBCE0" w14:textId="1F886C19" w:rsidR="00F27D80" w:rsidRPr="003F111D" w:rsidRDefault="069C5460" w:rsidP="00F27D80">
      <w:pPr>
        <w:pStyle w:val="BodyText"/>
        <w:spacing w:line="271" w:lineRule="auto"/>
        <w:ind w:left="492" w:right="153"/>
        <w:jc w:val="both"/>
        <w:rPr>
          <w:lang w:val="en-ZA"/>
        </w:rPr>
      </w:pPr>
      <w:r w:rsidRPr="003F111D">
        <w:rPr>
          <w:rFonts w:ascii="Arial"/>
          <w:i/>
          <w:iCs/>
          <w:sz w:val="22"/>
          <w:szCs w:val="22"/>
          <w:lang w:val="en-ZA"/>
        </w:rPr>
        <w:t>Comment</w:t>
      </w:r>
      <w:r w:rsidR="3A8D63B4" w:rsidRPr="00EB4FA2">
        <w:rPr>
          <w:rFonts w:ascii="Arial"/>
          <w:i/>
          <w:iCs/>
          <w:lang w:val="en-ZA"/>
        </w:rPr>
        <w:t xml:space="preserve">: </w:t>
      </w:r>
      <w:r w:rsidR="3A8D63B4" w:rsidRPr="003F111D">
        <w:rPr>
          <w:rFonts w:ascii="Arial" w:hAnsi="Arial" w:cs="Arial"/>
          <w:sz w:val="22"/>
          <w:szCs w:val="22"/>
          <w:lang w:val="en-ZA"/>
        </w:rPr>
        <w:t>For provident fund and provident preservation fund members who were 55 years old on 1 March 2021, the seeding date and calculation basis are proposed to be flexible. Funds should have the option to choose which approach to follow. Essentially, whichever version they have communicated to their members and included in their rules should remain valid.</w:t>
      </w:r>
    </w:p>
    <w:p w14:paraId="49B6D363" w14:textId="77777777" w:rsidR="00F27D80" w:rsidRPr="00EB4FA2" w:rsidRDefault="00F27D80" w:rsidP="00F27D80">
      <w:pPr>
        <w:pStyle w:val="BodyText"/>
        <w:spacing w:line="271" w:lineRule="auto"/>
        <w:ind w:left="492" w:right="153"/>
        <w:jc w:val="both"/>
        <w:rPr>
          <w:lang w:val="en-ZA"/>
        </w:rPr>
      </w:pPr>
    </w:p>
    <w:p w14:paraId="2A68F77A" w14:textId="683B7FB1" w:rsidR="00F27D80" w:rsidRPr="00EB4FA2" w:rsidRDefault="069C5460" w:rsidP="251BE3F0">
      <w:pPr>
        <w:pStyle w:val="BodyText"/>
        <w:spacing w:line="271" w:lineRule="auto"/>
        <w:ind w:left="831" w:right="152"/>
        <w:jc w:val="both"/>
        <w:rPr>
          <w:rFonts w:ascii="Arial"/>
          <w:lang w:val="en-ZA"/>
        </w:rPr>
      </w:pPr>
      <w:r w:rsidRPr="003F111D">
        <w:rPr>
          <w:rFonts w:ascii="Arial"/>
          <w:i/>
          <w:iCs/>
          <w:sz w:val="22"/>
          <w:szCs w:val="22"/>
          <w:lang w:val="en-ZA"/>
        </w:rPr>
        <w:t>Response</w:t>
      </w:r>
      <w:r w:rsidRPr="003F111D">
        <w:rPr>
          <w:rFonts w:ascii="Arial"/>
          <w:i/>
          <w:iCs/>
          <w:lang w:val="en-ZA"/>
        </w:rPr>
        <w:t xml:space="preserve">: </w:t>
      </w:r>
      <w:r w:rsidRPr="003F111D">
        <w:rPr>
          <w:rFonts w:ascii="Arial" w:hAnsi="Arial" w:cs="Arial"/>
          <w:sz w:val="22"/>
          <w:szCs w:val="22"/>
          <w:u w:val="single"/>
          <w:lang w:val="en-ZA"/>
        </w:rPr>
        <w:t>Accepted</w:t>
      </w:r>
      <w:r w:rsidRPr="003F111D">
        <w:rPr>
          <w:rFonts w:ascii="Arial" w:hAnsi="Arial" w:cs="Arial"/>
          <w:sz w:val="22"/>
          <w:szCs w:val="22"/>
          <w:lang w:val="en-ZA"/>
        </w:rPr>
        <w:t xml:space="preserve">. The </w:t>
      </w:r>
      <w:r w:rsidR="3F338BB3" w:rsidRPr="003F111D">
        <w:rPr>
          <w:rFonts w:ascii="Arial" w:hAnsi="Arial" w:cs="Arial"/>
          <w:sz w:val="22"/>
          <w:szCs w:val="22"/>
          <w:lang w:val="en-ZA"/>
        </w:rPr>
        <w:t xml:space="preserve">amendment will be made </w:t>
      </w:r>
      <w:r w:rsidR="27BB1589" w:rsidRPr="003F111D">
        <w:rPr>
          <w:rFonts w:ascii="Arial" w:hAnsi="Arial" w:cs="Arial"/>
          <w:sz w:val="22"/>
          <w:szCs w:val="22"/>
          <w:lang w:val="en-ZA"/>
        </w:rPr>
        <w:t>that will give optionality for the funds to se</w:t>
      </w:r>
      <w:r w:rsidR="6B21752A" w:rsidRPr="003F111D">
        <w:rPr>
          <w:rFonts w:ascii="Arial" w:hAnsi="Arial" w:cs="Arial"/>
          <w:sz w:val="22"/>
          <w:szCs w:val="22"/>
          <w:lang w:val="en-ZA"/>
        </w:rPr>
        <w:t>lect which approach to follow.</w:t>
      </w:r>
      <w:r w:rsidR="6B21752A" w:rsidRPr="003F111D">
        <w:rPr>
          <w:rFonts w:ascii="Arial"/>
          <w:lang w:val="en-ZA"/>
        </w:rPr>
        <w:t xml:space="preserve"> </w:t>
      </w:r>
    </w:p>
    <w:p w14:paraId="0A025877" w14:textId="71D944E6" w:rsidR="251BE3F0" w:rsidRPr="003F111D" w:rsidRDefault="251BE3F0" w:rsidP="251BE3F0">
      <w:pPr>
        <w:pStyle w:val="BodyText"/>
        <w:spacing w:line="271" w:lineRule="auto"/>
        <w:ind w:left="831" w:right="152"/>
        <w:jc w:val="both"/>
        <w:rPr>
          <w:rFonts w:ascii="Arial"/>
          <w:lang w:val="en-ZA"/>
        </w:rPr>
      </w:pPr>
    </w:p>
    <w:p w14:paraId="17EAC689" w14:textId="03BC81A7" w:rsidR="00F27D80" w:rsidRPr="003F111D" w:rsidRDefault="069C5460" w:rsidP="00F27D80">
      <w:pPr>
        <w:pStyle w:val="BodyText"/>
        <w:spacing w:line="271" w:lineRule="auto"/>
        <w:ind w:left="492" w:right="153"/>
        <w:jc w:val="both"/>
        <w:rPr>
          <w:lang w:val="en-ZA"/>
        </w:rPr>
      </w:pPr>
      <w:r w:rsidRPr="003F111D">
        <w:rPr>
          <w:rFonts w:ascii="Arial"/>
          <w:i/>
          <w:iCs/>
          <w:sz w:val="22"/>
          <w:szCs w:val="22"/>
          <w:lang w:val="en-ZA"/>
        </w:rPr>
        <w:t>Comment</w:t>
      </w:r>
      <w:r w:rsidRPr="003F111D">
        <w:rPr>
          <w:rFonts w:ascii="Arial"/>
          <w:i/>
          <w:iCs/>
          <w:lang w:val="en-ZA"/>
        </w:rPr>
        <w:t>:</w:t>
      </w:r>
      <w:r w:rsidR="269EEDB1" w:rsidRPr="003F111D">
        <w:rPr>
          <w:lang w:val="en-ZA"/>
        </w:rPr>
        <w:t xml:space="preserve"> </w:t>
      </w:r>
      <w:r w:rsidR="735D46DB" w:rsidRPr="003F111D">
        <w:rPr>
          <w:rFonts w:ascii="Arial" w:hAnsi="Arial" w:cs="Arial"/>
          <w:sz w:val="22"/>
          <w:szCs w:val="22"/>
          <w:lang w:val="en-ZA"/>
        </w:rPr>
        <w:t>The Bill enforces a three-year waiting period for preservation fund members who have changed their tax residence. This should be revised so that the three-year waiting period only applies if the member has already made their one-time withdrawal from the preservation fund. This amendment is to safeguard an existing or vested right.</w:t>
      </w:r>
    </w:p>
    <w:p w14:paraId="24CF26A0" w14:textId="77777777" w:rsidR="00F27D80" w:rsidRPr="00EB4FA2" w:rsidRDefault="00F27D80" w:rsidP="00F27D80">
      <w:pPr>
        <w:pStyle w:val="BodyText"/>
        <w:spacing w:line="271" w:lineRule="auto"/>
        <w:ind w:left="492" w:right="153"/>
        <w:jc w:val="both"/>
        <w:rPr>
          <w:lang w:val="en-ZA"/>
        </w:rPr>
      </w:pPr>
    </w:p>
    <w:p w14:paraId="073F181D" w14:textId="4FA7B215" w:rsidR="00394235" w:rsidRPr="003F111D" w:rsidRDefault="069C5460" w:rsidP="00B7258C">
      <w:pPr>
        <w:pStyle w:val="BodyText"/>
        <w:spacing w:line="271" w:lineRule="auto"/>
        <w:ind w:left="831" w:right="152"/>
        <w:jc w:val="both"/>
        <w:rPr>
          <w:rFonts w:ascii="Arial" w:hAnsi="Arial" w:cs="Arial"/>
          <w:sz w:val="22"/>
          <w:szCs w:val="22"/>
          <w:lang w:val="en-ZA"/>
        </w:rPr>
      </w:pPr>
      <w:r w:rsidRPr="003F111D">
        <w:rPr>
          <w:rFonts w:ascii="Arial"/>
          <w:i/>
          <w:iCs/>
          <w:sz w:val="22"/>
          <w:szCs w:val="22"/>
          <w:lang w:val="en-ZA"/>
        </w:rPr>
        <w:t xml:space="preserve">Response: </w:t>
      </w:r>
      <w:r w:rsidR="2F31842F" w:rsidRPr="003F111D">
        <w:rPr>
          <w:rFonts w:ascii="Arial" w:hAnsi="Arial" w:cs="Arial"/>
          <w:sz w:val="22"/>
          <w:szCs w:val="22"/>
          <w:u w:val="single"/>
          <w:lang w:val="en-ZA"/>
        </w:rPr>
        <w:t>Not a</w:t>
      </w:r>
      <w:r w:rsidRPr="003F111D">
        <w:rPr>
          <w:rFonts w:ascii="Arial" w:hAnsi="Arial" w:cs="Arial"/>
          <w:sz w:val="22"/>
          <w:szCs w:val="22"/>
          <w:u w:val="single"/>
          <w:lang w:val="en-ZA"/>
        </w:rPr>
        <w:t>ccepted</w:t>
      </w:r>
      <w:r w:rsidRPr="003F111D">
        <w:rPr>
          <w:rFonts w:ascii="Arial" w:hAnsi="Arial" w:cs="Arial"/>
          <w:sz w:val="22"/>
          <w:szCs w:val="22"/>
          <w:lang w:val="en-ZA"/>
        </w:rPr>
        <w:t xml:space="preserve">. </w:t>
      </w:r>
      <w:r w:rsidR="4C20FC34" w:rsidRPr="003F111D">
        <w:rPr>
          <w:rFonts w:ascii="Arial" w:hAnsi="Arial" w:cs="Arial"/>
          <w:sz w:val="22"/>
          <w:szCs w:val="22"/>
          <w:lang w:val="en-ZA"/>
        </w:rPr>
        <w:t xml:space="preserve">A non-SA resident member is still allowed to make a once-off withdrawal during his or her membership of up to the full value in the member’s interest in the vested component in his or pension preservation or provident preservation fund, but only if the member has not previously accessed the value in the vested component for that reason during the membership in the preservation fund. If the non-SA resident member did previously access the value in the vested component in the pension preservation fund or provident preservations fund during membership, then the balance can only be accessed after the 3 uninterrupted years requirement of not being a SA resident have been met.  </w:t>
      </w:r>
    </w:p>
    <w:p w14:paraId="6DA512CD" w14:textId="77777777" w:rsidR="0037727C" w:rsidRPr="00EB4FA2" w:rsidRDefault="0037727C" w:rsidP="0037727C">
      <w:pPr>
        <w:pStyle w:val="BodyText"/>
        <w:spacing w:line="271" w:lineRule="auto"/>
        <w:ind w:left="492" w:right="153"/>
        <w:jc w:val="both"/>
        <w:rPr>
          <w:rFonts w:ascii="Arial"/>
          <w:i/>
          <w:iCs/>
          <w:lang w:val="en-ZA"/>
        </w:rPr>
      </w:pPr>
    </w:p>
    <w:p w14:paraId="34B989AE" w14:textId="35E3579E" w:rsidR="0037727C" w:rsidRPr="003F111D" w:rsidRDefault="0037727C" w:rsidP="0037727C">
      <w:pPr>
        <w:pStyle w:val="BodyText"/>
        <w:spacing w:line="271" w:lineRule="auto"/>
        <w:ind w:left="492" w:right="153"/>
        <w:jc w:val="both"/>
        <w:rPr>
          <w:rFonts w:ascii="Arial"/>
          <w:spacing w:val="-7"/>
          <w:lang w:val="en-ZA"/>
        </w:rPr>
      </w:pPr>
      <w:r w:rsidRPr="003F111D">
        <w:rPr>
          <w:rFonts w:ascii="Arial"/>
          <w:i/>
          <w:iCs/>
          <w:sz w:val="22"/>
          <w:szCs w:val="22"/>
          <w:lang w:val="en-ZA"/>
        </w:rPr>
        <w:t>Comment</w:t>
      </w:r>
      <w:r w:rsidRPr="00EB4FA2">
        <w:rPr>
          <w:rFonts w:ascii="Arial"/>
          <w:i/>
          <w:iCs/>
          <w:lang w:val="en-ZA"/>
        </w:rPr>
        <w:t>:</w:t>
      </w:r>
      <w:r w:rsidRPr="00EB4FA2">
        <w:rPr>
          <w:rFonts w:ascii="Arial"/>
          <w:i/>
          <w:iCs/>
          <w:spacing w:val="-7"/>
          <w:lang w:val="en-ZA"/>
        </w:rPr>
        <w:t xml:space="preserve"> </w:t>
      </w:r>
      <w:r w:rsidRPr="003F111D">
        <w:rPr>
          <w:rFonts w:ascii="Arial" w:hAnsi="Arial" w:cs="Arial"/>
          <w:sz w:val="22"/>
          <w:szCs w:val="22"/>
          <w:lang w:val="en-ZA"/>
        </w:rPr>
        <w:t>With respect to the definition of ‘‘legacy retirement annuity policy’’ , a retirement annuity fund has never been able to issue polices, neither under the Long-term Insurance Act nor the current Insurance Act. Only a long-term insurer can issue polices. Policies are issued by a long-term insurer to the retirement annuity fund, in respect of that fund’s members.</w:t>
      </w:r>
    </w:p>
    <w:p w14:paraId="4CE3AD67" w14:textId="77777777" w:rsidR="0037727C" w:rsidRPr="00EB4FA2" w:rsidRDefault="0037727C" w:rsidP="0037727C">
      <w:pPr>
        <w:pStyle w:val="BodyText"/>
        <w:spacing w:line="271" w:lineRule="auto"/>
        <w:ind w:left="492" w:right="153"/>
        <w:jc w:val="both"/>
        <w:rPr>
          <w:lang w:val="en-ZA"/>
        </w:rPr>
      </w:pPr>
    </w:p>
    <w:p w14:paraId="55803669" w14:textId="4A726F0E" w:rsidR="0037727C" w:rsidRPr="003F111D" w:rsidRDefault="0037727C" w:rsidP="0037727C">
      <w:pPr>
        <w:pStyle w:val="BodyText"/>
        <w:spacing w:line="271" w:lineRule="auto"/>
        <w:ind w:left="831" w:right="152"/>
        <w:jc w:val="both"/>
        <w:rPr>
          <w:rFonts w:ascii="Arial" w:hAnsi="Arial" w:cs="Arial"/>
          <w:sz w:val="22"/>
          <w:szCs w:val="22"/>
          <w:lang w:val="en-ZA"/>
        </w:rPr>
      </w:pPr>
      <w:r w:rsidRPr="003F111D">
        <w:rPr>
          <w:rFonts w:ascii="Arial"/>
          <w:i/>
          <w:iCs/>
          <w:sz w:val="22"/>
          <w:szCs w:val="22"/>
          <w:lang w:val="en-ZA"/>
        </w:rPr>
        <w:t>Response</w:t>
      </w:r>
      <w:r w:rsidRPr="003F111D">
        <w:rPr>
          <w:rFonts w:ascii="Arial"/>
          <w:i/>
          <w:iCs/>
          <w:lang w:val="en-ZA"/>
        </w:rPr>
        <w:t xml:space="preserve">: </w:t>
      </w:r>
      <w:r w:rsidRPr="003F111D">
        <w:rPr>
          <w:rFonts w:ascii="Arial" w:hAnsi="Arial" w:cs="Arial"/>
          <w:sz w:val="22"/>
          <w:szCs w:val="22"/>
          <w:u w:val="single"/>
          <w:lang w:val="en-ZA"/>
        </w:rPr>
        <w:t>Accepted</w:t>
      </w:r>
      <w:r w:rsidRPr="003F111D">
        <w:rPr>
          <w:rFonts w:ascii="Arial" w:hAnsi="Arial" w:cs="Arial"/>
          <w:sz w:val="22"/>
          <w:szCs w:val="22"/>
          <w:lang w:val="en-ZA"/>
        </w:rPr>
        <w:t>. The draft legislation will be amended to mean ‘legacy retirement annuity policy’ w</w:t>
      </w:r>
      <w:r w:rsidR="005B35B9">
        <w:rPr>
          <w:rFonts w:ascii="Arial" w:hAnsi="Arial" w:cs="Arial"/>
          <w:sz w:val="22"/>
          <w:szCs w:val="22"/>
          <w:lang w:val="en-ZA"/>
        </w:rPr>
        <w:t xml:space="preserve">hich </w:t>
      </w:r>
      <w:r w:rsidRPr="003F111D">
        <w:rPr>
          <w:rFonts w:ascii="Arial" w:hAnsi="Arial" w:cs="Arial"/>
          <w:sz w:val="22"/>
          <w:szCs w:val="22"/>
          <w:lang w:val="en-ZA"/>
        </w:rPr>
        <w:t xml:space="preserve">policy is held by a retirement annuity fund. </w:t>
      </w:r>
    </w:p>
    <w:p w14:paraId="3DA9C6DB" w14:textId="77777777" w:rsidR="0037727C" w:rsidRPr="00EB4FA2" w:rsidRDefault="0037727C" w:rsidP="0037727C">
      <w:pPr>
        <w:pStyle w:val="BodyText"/>
        <w:spacing w:line="271" w:lineRule="auto"/>
        <w:ind w:left="492" w:right="153"/>
        <w:jc w:val="both"/>
        <w:rPr>
          <w:rFonts w:ascii="Arial"/>
          <w:i/>
          <w:iCs/>
          <w:lang w:val="en-ZA"/>
        </w:rPr>
      </w:pPr>
    </w:p>
    <w:p w14:paraId="353EA550" w14:textId="11003D64" w:rsidR="0037727C" w:rsidRPr="003F111D" w:rsidRDefault="0037727C" w:rsidP="0037727C">
      <w:pPr>
        <w:pStyle w:val="BodyText"/>
        <w:spacing w:line="271" w:lineRule="auto"/>
        <w:ind w:left="492" w:right="153"/>
        <w:jc w:val="both"/>
        <w:rPr>
          <w:rFonts w:ascii="Arial" w:hAnsi="Arial" w:cs="Arial"/>
          <w:sz w:val="22"/>
          <w:szCs w:val="22"/>
          <w:lang w:val="en-ZA"/>
        </w:rPr>
      </w:pPr>
      <w:r w:rsidRPr="003F111D">
        <w:rPr>
          <w:rFonts w:ascii="Arial"/>
          <w:i/>
          <w:iCs/>
          <w:sz w:val="22"/>
          <w:szCs w:val="22"/>
          <w:lang w:val="en-ZA"/>
        </w:rPr>
        <w:t>Comment</w:t>
      </w:r>
      <w:r w:rsidRPr="00EB4FA2">
        <w:rPr>
          <w:rFonts w:ascii="Arial"/>
          <w:i/>
          <w:iCs/>
          <w:lang w:val="en-ZA"/>
        </w:rPr>
        <w:t>:</w:t>
      </w:r>
      <w:r w:rsidRPr="00EB4FA2">
        <w:rPr>
          <w:rFonts w:ascii="Arial"/>
          <w:i/>
          <w:iCs/>
          <w:spacing w:val="-7"/>
          <w:lang w:val="en-ZA"/>
        </w:rPr>
        <w:t xml:space="preserve"> </w:t>
      </w:r>
      <w:r w:rsidRPr="003F111D">
        <w:rPr>
          <w:rFonts w:ascii="Arial" w:hAnsi="Arial" w:cs="Arial"/>
          <w:sz w:val="22"/>
          <w:szCs w:val="22"/>
          <w:lang w:val="en-ZA"/>
        </w:rPr>
        <w:t>It is not made clear that the T-Day vested amounts must also be taken into account when the one-third that can be taken in cash on retirement is determined</w:t>
      </w:r>
      <w:r w:rsidR="00C70E7E" w:rsidRPr="003F111D">
        <w:rPr>
          <w:rFonts w:ascii="Arial" w:hAnsi="Arial" w:cs="Arial"/>
          <w:sz w:val="22"/>
          <w:szCs w:val="22"/>
          <w:lang w:val="en-ZA"/>
        </w:rPr>
        <w:t>.</w:t>
      </w:r>
    </w:p>
    <w:p w14:paraId="3F58BB2A" w14:textId="77777777" w:rsidR="0037727C" w:rsidRPr="00EB4FA2" w:rsidRDefault="0037727C" w:rsidP="0037727C">
      <w:pPr>
        <w:pStyle w:val="BodyText"/>
        <w:spacing w:line="271" w:lineRule="auto"/>
        <w:ind w:left="492" w:right="153"/>
        <w:jc w:val="both"/>
        <w:rPr>
          <w:lang w:val="en-ZA"/>
        </w:rPr>
      </w:pPr>
    </w:p>
    <w:p w14:paraId="4A111093" w14:textId="7E1EA53B" w:rsidR="0037727C" w:rsidRPr="003F111D" w:rsidRDefault="0037727C" w:rsidP="0037727C">
      <w:pPr>
        <w:pStyle w:val="BodyText"/>
        <w:spacing w:line="271" w:lineRule="auto"/>
        <w:ind w:left="831" w:right="152"/>
        <w:jc w:val="both"/>
        <w:rPr>
          <w:rFonts w:ascii="Arial" w:hAnsi="Arial" w:cs="Arial"/>
          <w:sz w:val="22"/>
          <w:szCs w:val="22"/>
          <w:lang w:val="en-ZA"/>
        </w:rPr>
      </w:pPr>
      <w:r w:rsidRPr="003F111D">
        <w:rPr>
          <w:rFonts w:ascii="Arial"/>
          <w:i/>
          <w:iCs/>
          <w:sz w:val="22"/>
          <w:szCs w:val="22"/>
          <w:lang w:val="en-ZA"/>
        </w:rPr>
        <w:t>Response</w:t>
      </w:r>
      <w:r w:rsidRPr="003F111D">
        <w:rPr>
          <w:rFonts w:ascii="Arial"/>
          <w:i/>
          <w:iCs/>
          <w:lang w:val="en-ZA"/>
        </w:rPr>
        <w:t xml:space="preserve">: </w:t>
      </w:r>
      <w:r w:rsidRPr="003F111D">
        <w:rPr>
          <w:rFonts w:ascii="Arial"/>
          <w:sz w:val="22"/>
          <w:szCs w:val="22"/>
          <w:u w:val="single"/>
          <w:lang w:val="en-ZA"/>
        </w:rPr>
        <w:t>Accepted</w:t>
      </w:r>
      <w:r w:rsidRPr="003F111D">
        <w:rPr>
          <w:rFonts w:ascii="Arial"/>
          <w:lang w:val="en-ZA"/>
        </w:rPr>
        <w:t xml:space="preserve">. </w:t>
      </w:r>
      <w:r w:rsidR="008565FF" w:rsidRPr="003F111D">
        <w:rPr>
          <w:rFonts w:ascii="Arial" w:hAnsi="Arial" w:cs="Arial"/>
          <w:sz w:val="22"/>
          <w:szCs w:val="22"/>
          <w:lang w:val="en-ZA"/>
        </w:rPr>
        <w:t>The proviso’s wording, which states that ‘Provided that in determining the value of two-thirds of the member’s interest in the vested component,’ will specifically refer to ‘on retirement’.</w:t>
      </w:r>
    </w:p>
    <w:p w14:paraId="4C25F59C" w14:textId="77777777" w:rsidR="006B0560" w:rsidRPr="003F111D" w:rsidRDefault="006B0560" w:rsidP="0037727C">
      <w:pPr>
        <w:pStyle w:val="BodyText"/>
        <w:spacing w:line="271" w:lineRule="auto"/>
        <w:ind w:left="831" w:right="152"/>
        <w:jc w:val="both"/>
        <w:rPr>
          <w:rFonts w:ascii="Arial"/>
          <w:lang w:val="en-ZA"/>
        </w:rPr>
      </w:pPr>
    </w:p>
    <w:p w14:paraId="4F06357A" w14:textId="0D3D8736" w:rsidR="00394235" w:rsidRPr="003F111D" w:rsidRDefault="269EEDB1" w:rsidP="00394235">
      <w:pPr>
        <w:pStyle w:val="BodyText"/>
        <w:spacing w:line="271" w:lineRule="auto"/>
        <w:ind w:left="492" w:right="153"/>
        <w:jc w:val="both"/>
        <w:rPr>
          <w:lang w:val="en-ZA"/>
        </w:rPr>
      </w:pPr>
      <w:r w:rsidRPr="003F111D">
        <w:rPr>
          <w:rFonts w:ascii="Arial"/>
          <w:i/>
          <w:iCs/>
          <w:sz w:val="22"/>
          <w:szCs w:val="22"/>
          <w:lang w:val="en-ZA"/>
        </w:rPr>
        <w:t>Comment</w:t>
      </w:r>
      <w:r w:rsidRPr="00EB4FA2">
        <w:rPr>
          <w:rFonts w:ascii="Arial"/>
          <w:i/>
          <w:iCs/>
          <w:lang w:val="en-ZA"/>
        </w:rPr>
        <w:t>:</w:t>
      </w:r>
      <w:r w:rsidRPr="00EB4FA2">
        <w:rPr>
          <w:rFonts w:ascii="Arial"/>
          <w:i/>
          <w:iCs/>
          <w:spacing w:val="-7"/>
          <w:lang w:val="en-ZA"/>
        </w:rPr>
        <w:t xml:space="preserve"> </w:t>
      </w:r>
      <w:r w:rsidR="5337B741" w:rsidRPr="003F111D">
        <w:rPr>
          <w:rFonts w:ascii="Arial" w:hAnsi="Arial" w:cs="Arial"/>
          <w:sz w:val="22"/>
          <w:szCs w:val="22"/>
          <w:lang w:val="en-ZA"/>
        </w:rPr>
        <w:t>Wording of definitions of the various different types of retirement funds needs to be changed to clarify how vested benefits must be dealt with in the R165 000 de minimis calculation.</w:t>
      </w:r>
    </w:p>
    <w:p w14:paraId="27761FAD" w14:textId="77777777" w:rsidR="00394235" w:rsidRPr="00EB4FA2" w:rsidRDefault="00394235" w:rsidP="00394235">
      <w:pPr>
        <w:pStyle w:val="BodyText"/>
        <w:spacing w:line="271" w:lineRule="auto"/>
        <w:ind w:left="492" w:right="153"/>
        <w:jc w:val="both"/>
        <w:rPr>
          <w:lang w:val="en-ZA"/>
        </w:rPr>
      </w:pPr>
    </w:p>
    <w:p w14:paraId="3793E29E" w14:textId="3C255B13" w:rsidR="00394235" w:rsidRPr="003F111D" w:rsidRDefault="269EEDB1" w:rsidP="251BE3F0">
      <w:pPr>
        <w:pStyle w:val="BodyText"/>
        <w:spacing w:line="271" w:lineRule="auto"/>
        <w:ind w:left="831" w:right="152"/>
        <w:jc w:val="both"/>
        <w:rPr>
          <w:rFonts w:ascii="Arial"/>
          <w:lang w:val="en-ZA"/>
        </w:rPr>
      </w:pPr>
      <w:r w:rsidRPr="003F111D">
        <w:rPr>
          <w:rFonts w:ascii="Arial"/>
          <w:i/>
          <w:iCs/>
          <w:sz w:val="22"/>
          <w:szCs w:val="22"/>
          <w:lang w:val="en-ZA"/>
        </w:rPr>
        <w:t>Response</w:t>
      </w:r>
      <w:r w:rsidRPr="003F111D">
        <w:rPr>
          <w:rFonts w:ascii="Arial"/>
          <w:i/>
          <w:iCs/>
          <w:lang w:val="en-ZA"/>
        </w:rPr>
        <w:t>:</w:t>
      </w:r>
      <w:r w:rsidRPr="003F111D">
        <w:rPr>
          <w:rFonts w:ascii="Arial" w:hAnsi="Arial" w:cs="Arial"/>
          <w:sz w:val="22"/>
          <w:szCs w:val="22"/>
          <w:lang w:val="en-ZA"/>
        </w:rPr>
        <w:t xml:space="preserve"> </w:t>
      </w:r>
      <w:r w:rsidR="494D19A4" w:rsidRPr="003F111D">
        <w:rPr>
          <w:rFonts w:ascii="Arial" w:hAnsi="Arial" w:cs="Arial"/>
          <w:sz w:val="22"/>
          <w:szCs w:val="22"/>
          <w:u w:val="single"/>
          <w:lang w:val="en-ZA"/>
        </w:rPr>
        <w:t>Noted</w:t>
      </w:r>
      <w:r w:rsidRPr="003F111D">
        <w:rPr>
          <w:rFonts w:ascii="Arial" w:hAnsi="Arial" w:cs="Arial"/>
          <w:sz w:val="22"/>
          <w:szCs w:val="22"/>
          <w:lang w:val="en-ZA"/>
        </w:rPr>
        <w:t>.</w:t>
      </w:r>
      <w:r w:rsidR="001532B3">
        <w:rPr>
          <w:rFonts w:ascii="Arial"/>
        </w:rPr>
        <w:t xml:space="preserve"> </w:t>
      </w:r>
      <w:r w:rsidR="005B35B9">
        <w:rPr>
          <w:rFonts w:ascii="Arial"/>
          <w:color w:val="000000" w:themeColor="text1"/>
          <w:lang w:val="en-ZA"/>
        </w:rPr>
        <w:t xml:space="preserve">The </w:t>
      </w:r>
      <w:r w:rsidR="00403DF5" w:rsidRPr="005B35B9">
        <w:rPr>
          <w:rFonts w:ascii="Arial"/>
          <w:color w:val="000000" w:themeColor="text1"/>
          <w:lang w:val="en-ZA"/>
        </w:rPr>
        <w:t>current wording is sufficient and confirms that if the sum of 2/3 of the vested component (excluding the value that relates to vested benefits of those members who were members of a provident fund or provident preservation fund on 1 March 2021) and the full value of the retirement component is R165 000 or less then the full value of the vested component and the retirement component may be taken as a lump sum in cash.</w:t>
      </w:r>
    </w:p>
    <w:p w14:paraId="3F9F4A22" w14:textId="77777777" w:rsidR="00704055" w:rsidRPr="00EB4FA2" w:rsidRDefault="00704055" w:rsidP="251BE3F0">
      <w:pPr>
        <w:pStyle w:val="BodyText"/>
        <w:rPr>
          <w:sz w:val="20"/>
          <w:szCs w:val="20"/>
          <w:lang w:val="en-ZA"/>
        </w:rPr>
      </w:pPr>
    </w:p>
    <w:p w14:paraId="5CEBCFC5" w14:textId="7F56697C" w:rsidR="00704055" w:rsidRPr="003F111D" w:rsidRDefault="1A4CE06B" w:rsidP="251BE3F0">
      <w:pPr>
        <w:pStyle w:val="BodyText"/>
        <w:spacing w:line="271" w:lineRule="auto"/>
        <w:ind w:left="492" w:right="153"/>
        <w:jc w:val="both"/>
        <w:rPr>
          <w:rFonts w:ascii="Arial" w:hAnsi="Arial" w:cs="Arial"/>
          <w:sz w:val="22"/>
          <w:szCs w:val="22"/>
          <w:lang w:val="en-ZA"/>
        </w:rPr>
      </w:pPr>
      <w:r w:rsidRPr="003F111D">
        <w:rPr>
          <w:rFonts w:ascii="Arial"/>
          <w:i/>
          <w:iCs/>
          <w:sz w:val="22"/>
          <w:szCs w:val="22"/>
          <w:lang w:val="en-ZA"/>
        </w:rPr>
        <w:t>Comment</w:t>
      </w:r>
      <w:r w:rsidRPr="00EB4FA2">
        <w:rPr>
          <w:rFonts w:ascii="Arial"/>
          <w:i/>
          <w:iCs/>
          <w:lang w:val="en-ZA"/>
        </w:rPr>
        <w:t>:</w:t>
      </w:r>
      <w:r w:rsidRPr="00EB4FA2">
        <w:rPr>
          <w:rFonts w:ascii="Arial"/>
          <w:i/>
          <w:iCs/>
          <w:spacing w:val="-7"/>
          <w:lang w:val="en-ZA"/>
        </w:rPr>
        <w:t xml:space="preserve"> </w:t>
      </w:r>
      <w:r w:rsidR="005138CB" w:rsidRPr="003F111D">
        <w:rPr>
          <w:rFonts w:ascii="Arial" w:hAnsi="Arial" w:cs="Arial"/>
          <w:sz w:val="22"/>
          <w:szCs w:val="22"/>
          <w:lang w:val="en-ZA"/>
        </w:rPr>
        <w:t xml:space="preserve">Members of retirement annuity and preservation funds might hold multiple contracts within the same fund, resulting in more than one retirement component. </w:t>
      </w:r>
      <w:bookmarkStart w:id="28" w:name="_Hlk180400615"/>
      <w:r w:rsidR="005138CB" w:rsidRPr="003F111D">
        <w:rPr>
          <w:rFonts w:ascii="Arial" w:hAnsi="Arial" w:cs="Arial"/>
          <w:sz w:val="22"/>
          <w:szCs w:val="22"/>
          <w:lang w:val="en-ZA"/>
        </w:rPr>
        <w:t>The wording should be revised to reflect these contracts.</w:t>
      </w:r>
    </w:p>
    <w:bookmarkEnd w:id="28"/>
    <w:p w14:paraId="5D8E951A" w14:textId="77777777" w:rsidR="00704055" w:rsidRPr="00EB4FA2" w:rsidRDefault="00704055" w:rsidP="00704055">
      <w:pPr>
        <w:pStyle w:val="BodyText"/>
        <w:spacing w:line="271" w:lineRule="auto"/>
        <w:ind w:left="492" w:right="153"/>
        <w:jc w:val="both"/>
        <w:rPr>
          <w:lang w:val="en-ZA"/>
        </w:rPr>
      </w:pPr>
    </w:p>
    <w:p w14:paraId="41FAECCC" w14:textId="71396886" w:rsidR="00704055" w:rsidRPr="003F111D" w:rsidRDefault="1A4CE06B" w:rsidP="251BE3F0">
      <w:pPr>
        <w:pStyle w:val="BodyText"/>
        <w:spacing w:line="271" w:lineRule="auto"/>
        <w:ind w:left="831" w:right="152"/>
        <w:jc w:val="both"/>
        <w:rPr>
          <w:rFonts w:ascii="Arial"/>
          <w:lang w:val="en-ZA"/>
        </w:rPr>
      </w:pPr>
      <w:r w:rsidRPr="003F111D">
        <w:rPr>
          <w:rFonts w:ascii="Arial"/>
          <w:i/>
          <w:iCs/>
          <w:sz w:val="22"/>
          <w:szCs w:val="22"/>
          <w:lang w:val="en-ZA"/>
        </w:rPr>
        <w:t>Response</w:t>
      </w:r>
      <w:r w:rsidRPr="003F111D">
        <w:rPr>
          <w:rFonts w:ascii="Arial"/>
          <w:i/>
          <w:iCs/>
          <w:lang w:val="en-ZA"/>
        </w:rPr>
        <w:t xml:space="preserve">: </w:t>
      </w:r>
      <w:r w:rsidRPr="003F111D">
        <w:rPr>
          <w:rFonts w:ascii="Arial" w:hAnsi="Arial" w:cs="Arial"/>
          <w:sz w:val="22"/>
          <w:szCs w:val="22"/>
          <w:u w:val="single"/>
          <w:lang w:val="en-ZA"/>
        </w:rPr>
        <w:t>Accepted</w:t>
      </w:r>
      <w:r w:rsidRPr="003F111D">
        <w:rPr>
          <w:rFonts w:ascii="Arial" w:hAnsi="Arial" w:cs="Arial"/>
          <w:sz w:val="22"/>
          <w:szCs w:val="22"/>
          <w:lang w:val="en-ZA"/>
        </w:rPr>
        <w:t xml:space="preserve">. </w:t>
      </w:r>
      <w:r w:rsidR="005138CB" w:rsidRPr="003F111D">
        <w:rPr>
          <w:rFonts w:ascii="Arial" w:hAnsi="Arial" w:cs="Arial"/>
          <w:sz w:val="22"/>
          <w:szCs w:val="22"/>
          <w:lang w:val="en-ZA"/>
        </w:rPr>
        <w:t xml:space="preserve">The wording will be revised to </w:t>
      </w:r>
      <w:r w:rsidR="00A7764C" w:rsidRPr="003F111D">
        <w:rPr>
          <w:rFonts w:ascii="Arial" w:hAnsi="Arial" w:cs="Arial"/>
          <w:sz w:val="22"/>
          <w:szCs w:val="22"/>
          <w:lang w:val="en-ZA"/>
        </w:rPr>
        <w:t>cater for m</w:t>
      </w:r>
      <w:r w:rsidR="005138CB" w:rsidRPr="003F111D">
        <w:rPr>
          <w:rFonts w:ascii="Arial" w:hAnsi="Arial" w:cs="Arial"/>
          <w:sz w:val="22"/>
          <w:szCs w:val="22"/>
          <w:lang w:val="en-ZA"/>
        </w:rPr>
        <w:t>ultiple contracts</w:t>
      </w:r>
      <w:r w:rsidR="00EF0F29" w:rsidRPr="00EF0F29">
        <w:t xml:space="preserve"> </w:t>
      </w:r>
      <w:r w:rsidR="00EF0F29" w:rsidRPr="00EF0F29">
        <w:rPr>
          <w:rFonts w:ascii="Arial" w:hAnsi="Arial" w:cs="Arial"/>
          <w:sz w:val="22"/>
          <w:szCs w:val="22"/>
          <w:lang w:val="en-ZA"/>
        </w:rPr>
        <w:t>relating to transfers of components before retirement</w:t>
      </w:r>
      <w:r w:rsidR="00A7764C" w:rsidRPr="003F111D">
        <w:rPr>
          <w:rFonts w:ascii="Arial" w:hAnsi="Arial" w:cs="Arial"/>
          <w:sz w:val="22"/>
          <w:szCs w:val="22"/>
          <w:lang w:val="en-ZA"/>
        </w:rPr>
        <w:t xml:space="preserve">. </w:t>
      </w:r>
    </w:p>
    <w:p w14:paraId="6785BCDA" w14:textId="77777777" w:rsidR="00704055" w:rsidRPr="00EB4FA2" w:rsidRDefault="00704055" w:rsidP="251BE3F0">
      <w:pPr>
        <w:pStyle w:val="BodyText"/>
        <w:rPr>
          <w:sz w:val="20"/>
          <w:szCs w:val="20"/>
          <w:lang w:val="en-ZA"/>
        </w:rPr>
      </w:pPr>
    </w:p>
    <w:p w14:paraId="10AAE797" w14:textId="2F3E5ABD" w:rsidR="00704055" w:rsidRPr="003F111D" w:rsidRDefault="1A4CE06B" w:rsidP="251BE3F0">
      <w:pPr>
        <w:pStyle w:val="BodyText"/>
        <w:spacing w:line="271" w:lineRule="auto"/>
        <w:ind w:left="492" w:right="153"/>
        <w:jc w:val="both"/>
        <w:rPr>
          <w:rFonts w:ascii="Arial"/>
          <w:spacing w:val="-7"/>
          <w:lang w:val="en-ZA"/>
        </w:rPr>
      </w:pPr>
      <w:r w:rsidRPr="003F111D">
        <w:rPr>
          <w:rFonts w:ascii="Arial"/>
          <w:i/>
          <w:iCs/>
          <w:sz w:val="22"/>
          <w:szCs w:val="22"/>
          <w:lang w:val="en-ZA"/>
        </w:rPr>
        <w:t>Comment</w:t>
      </w:r>
      <w:r w:rsidRPr="00EB4FA2">
        <w:rPr>
          <w:rFonts w:ascii="Arial"/>
          <w:i/>
          <w:iCs/>
          <w:lang w:val="en-ZA"/>
        </w:rPr>
        <w:t>:</w:t>
      </w:r>
      <w:r w:rsidRPr="00EB4FA2">
        <w:rPr>
          <w:rFonts w:ascii="Arial"/>
          <w:i/>
          <w:iCs/>
          <w:spacing w:val="-7"/>
          <w:lang w:val="en-ZA"/>
        </w:rPr>
        <w:t xml:space="preserve"> </w:t>
      </w:r>
      <w:r w:rsidR="00A7764C" w:rsidRPr="003F111D">
        <w:rPr>
          <w:rFonts w:ascii="Arial" w:hAnsi="Arial" w:cs="Arial"/>
          <w:sz w:val="22"/>
          <w:szCs w:val="22"/>
          <w:lang w:val="en-ZA"/>
        </w:rPr>
        <w:t>Maintenance claims should be proportionately deducted from the various pots</w:t>
      </w:r>
      <w:r w:rsidR="00403DF5">
        <w:rPr>
          <w:rFonts w:ascii="Arial" w:hAnsi="Arial" w:cs="Arial"/>
          <w:sz w:val="22"/>
          <w:szCs w:val="22"/>
          <w:lang w:val="en-ZA"/>
        </w:rPr>
        <w:t>/components</w:t>
      </w:r>
      <w:r w:rsidR="00A7764C" w:rsidRPr="003F111D">
        <w:rPr>
          <w:lang w:val="en-ZA"/>
        </w:rPr>
        <w:t xml:space="preserve">. </w:t>
      </w:r>
    </w:p>
    <w:p w14:paraId="07835105" w14:textId="77777777" w:rsidR="00704055" w:rsidRPr="00EB4FA2" w:rsidRDefault="00704055" w:rsidP="00704055">
      <w:pPr>
        <w:pStyle w:val="BodyText"/>
        <w:spacing w:line="271" w:lineRule="auto"/>
        <w:ind w:left="492" w:right="153"/>
        <w:jc w:val="both"/>
        <w:rPr>
          <w:lang w:val="en-ZA"/>
        </w:rPr>
      </w:pPr>
    </w:p>
    <w:p w14:paraId="53C7D307" w14:textId="34D9DC6F" w:rsidR="00704055" w:rsidRPr="003F111D" w:rsidRDefault="1A4CE06B" w:rsidP="251BE3F0">
      <w:pPr>
        <w:pStyle w:val="BodyText"/>
        <w:spacing w:line="271" w:lineRule="auto"/>
        <w:ind w:left="831" w:right="152"/>
        <w:jc w:val="both"/>
        <w:rPr>
          <w:rFonts w:ascii="Arial" w:hAnsi="Arial" w:cs="Arial"/>
          <w:sz w:val="22"/>
          <w:szCs w:val="22"/>
          <w:lang w:val="en-ZA"/>
        </w:rPr>
      </w:pPr>
      <w:r w:rsidRPr="003F111D">
        <w:rPr>
          <w:rFonts w:ascii="Arial"/>
          <w:i/>
          <w:iCs/>
          <w:sz w:val="22"/>
          <w:szCs w:val="22"/>
          <w:lang w:val="en-ZA"/>
        </w:rPr>
        <w:t>Response</w:t>
      </w:r>
      <w:r w:rsidRPr="003F111D">
        <w:rPr>
          <w:rFonts w:ascii="Arial"/>
          <w:i/>
          <w:iCs/>
          <w:lang w:val="en-ZA"/>
        </w:rPr>
        <w:t xml:space="preserve">: </w:t>
      </w:r>
      <w:r w:rsidRPr="003F111D">
        <w:rPr>
          <w:rFonts w:ascii="Arial" w:hAnsi="Arial" w:cs="Arial"/>
          <w:sz w:val="22"/>
          <w:szCs w:val="22"/>
          <w:u w:val="single"/>
          <w:lang w:val="en-ZA"/>
        </w:rPr>
        <w:t>Accepted</w:t>
      </w:r>
      <w:r w:rsidRPr="003F111D">
        <w:rPr>
          <w:rFonts w:ascii="Arial" w:hAnsi="Arial" w:cs="Arial"/>
          <w:sz w:val="22"/>
          <w:szCs w:val="22"/>
          <w:lang w:val="en-ZA"/>
        </w:rPr>
        <w:t xml:space="preserve">. Amendments will be made to the draft legislation to </w:t>
      </w:r>
      <w:r w:rsidR="00A7764C" w:rsidRPr="003F111D">
        <w:rPr>
          <w:rFonts w:ascii="Arial" w:hAnsi="Arial" w:cs="Arial"/>
          <w:sz w:val="22"/>
          <w:szCs w:val="22"/>
          <w:lang w:val="en-ZA"/>
        </w:rPr>
        <w:t>include the reference to section 37D</w:t>
      </w:r>
      <w:r w:rsidR="00403DF5" w:rsidRPr="00403DF5">
        <w:t xml:space="preserve"> </w:t>
      </w:r>
      <w:r w:rsidR="00403DF5" w:rsidRPr="00403DF5">
        <w:rPr>
          <w:rFonts w:ascii="Arial" w:hAnsi="Arial" w:cs="Arial"/>
          <w:sz w:val="22"/>
          <w:szCs w:val="22"/>
          <w:lang w:val="en-ZA"/>
        </w:rPr>
        <w:t xml:space="preserve">(1) </w:t>
      </w:r>
      <w:r w:rsidR="00A7764C" w:rsidRPr="003F111D">
        <w:rPr>
          <w:rFonts w:ascii="Arial" w:hAnsi="Arial" w:cs="Arial"/>
          <w:sz w:val="22"/>
          <w:szCs w:val="22"/>
          <w:lang w:val="en-ZA"/>
        </w:rPr>
        <w:t>(d)(iA) maintenance deductions from the same provision, to provide clarity on how maintenance deductions should be applied to the three components.</w:t>
      </w:r>
      <w:r w:rsidR="00403DF5" w:rsidRPr="00403DF5">
        <w:t xml:space="preserve"> </w:t>
      </w:r>
      <w:r w:rsidR="00403DF5" w:rsidRPr="00403DF5">
        <w:rPr>
          <w:rFonts w:ascii="Arial" w:hAnsi="Arial" w:cs="Arial"/>
          <w:sz w:val="22"/>
          <w:szCs w:val="22"/>
          <w:lang w:val="en-ZA"/>
        </w:rPr>
        <w:t>The reference to section 37D(1)(d)((iB) relating to interim maintenance awards will also be incorporated. These maintenance deductions will follow the same deduction from all three components and section 7(11) for taxation and payment.</w:t>
      </w:r>
    </w:p>
    <w:p w14:paraId="0888483B" w14:textId="77777777" w:rsidR="00E2467F" w:rsidRPr="00EB4FA2" w:rsidRDefault="00E2467F" w:rsidP="00403DF5">
      <w:pPr>
        <w:pStyle w:val="BodyText"/>
        <w:spacing w:line="271" w:lineRule="auto"/>
        <w:ind w:right="152"/>
        <w:jc w:val="both"/>
        <w:rPr>
          <w:rFonts w:ascii="Arial"/>
          <w:lang w:val="en-ZA"/>
        </w:rPr>
      </w:pPr>
      <w:bookmarkStart w:id="29" w:name="_Hlk146877228"/>
      <w:bookmarkStart w:id="30" w:name="_Hlk146873891"/>
      <w:bookmarkEnd w:id="26"/>
    </w:p>
    <w:p w14:paraId="6623653D" w14:textId="7E1AA8B7" w:rsidR="00D00456" w:rsidRPr="00EB4FA2" w:rsidRDefault="00C44801" w:rsidP="00403DF5">
      <w:pPr>
        <w:pStyle w:val="BodyText"/>
        <w:tabs>
          <w:tab w:val="left" w:pos="709"/>
        </w:tabs>
        <w:rPr>
          <w:sz w:val="20"/>
          <w:szCs w:val="20"/>
          <w:lang w:val="en-ZA"/>
        </w:rPr>
      </w:pPr>
      <w:r w:rsidRPr="003F111D">
        <w:rPr>
          <w:rFonts w:ascii="Arial" w:hAnsi="Arial" w:cs="Arial"/>
          <w:b/>
          <w:bCs/>
          <w:sz w:val="22"/>
          <w:szCs w:val="22"/>
          <w:lang w:val="en-ZA"/>
        </w:rPr>
        <w:t>Comments received that were not part of the Published Bill</w:t>
      </w:r>
      <w:bookmarkEnd w:id="29"/>
    </w:p>
    <w:bookmarkEnd w:id="30"/>
    <w:p w14:paraId="76EFD4D6" w14:textId="77777777" w:rsidR="00D00456" w:rsidRPr="00EB4FA2" w:rsidRDefault="00D00456" w:rsidP="251BE3F0">
      <w:pPr>
        <w:pStyle w:val="BodyText"/>
        <w:rPr>
          <w:sz w:val="20"/>
          <w:szCs w:val="20"/>
          <w:lang w:val="en-ZA"/>
        </w:rPr>
      </w:pPr>
    </w:p>
    <w:p w14:paraId="5CCC4E87" w14:textId="786C40DC" w:rsidR="00C44801" w:rsidRPr="00EB4FA2" w:rsidRDefault="00C44801" w:rsidP="00C44801">
      <w:pPr>
        <w:pStyle w:val="4Comment"/>
        <w:ind w:left="425"/>
      </w:pPr>
      <w:r w:rsidRPr="003F111D">
        <w:rPr>
          <w:rFonts w:eastAsia="Arial MT" w:hAnsi="Arial MT" w:cs="Arial MT"/>
          <w:i/>
          <w:iCs/>
          <w:szCs w:val="22"/>
        </w:rPr>
        <w:t>Comment</w:t>
      </w:r>
      <w:r w:rsidRPr="00EB4FA2">
        <w:rPr>
          <w:rFonts w:eastAsia="Arial MT" w:hAnsi="Arial MT" w:cs="Arial MT"/>
          <w:i/>
          <w:iCs/>
          <w:sz w:val="21"/>
          <w:szCs w:val="21"/>
        </w:rPr>
        <w:t>:</w:t>
      </w:r>
      <w:r w:rsidRPr="00EB4FA2">
        <w:rPr>
          <w:i/>
          <w:iCs/>
          <w:spacing w:val="-7"/>
        </w:rPr>
        <w:t xml:space="preserve"> </w:t>
      </w:r>
      <w:r w:rsidRPr="003F111D">
        <w:rPr>
          <w:rFonts w:eastAsia="Arial MT"/>
          <w:szCs w:val="22"/>
        </w:rPr>
        <w:t xml:space="preserve">There appears to be </w:t>
      </w:r>
      <w:r w:rsidR="0037051D">
        <w:rPr>
          <w:rFonts w:eastAsia="Arial MT"/>
          <w:szCs w:val="22"/>
        </w:rPr>
        <w:t xml:space="preserve">an </w:t>
      </w:r>
      <w:r w:rsidRPr="003F111D">
        <w:rPr>
          <w:rFonts w:eastAsia="Arial MT"/>
          <w:szCs w:val="22"/>
        </w:rPr>
        <w:t>unintended consequence in the definition of ‘savings withdrawal benefit’. The intention was to allow members with less than R2000 in their savings withdrawal components to withdraw the entire amount upon exiting the fund. However, the current wording only permits this if the member has already taken a savings withdrawal benefit during the same tax year. Consequently, members who did not take a savings withdrawal benefit during the tax year because they had less than R2000 in their savings component will be unable to access the savings component upon exiting the fund.</w:t>
      </w:r>
      <w:r w:rsidRPr="00EB4FA2">
        <w:t xml:space="preserve">      </w:t>
      </w:r>
    </w:p>
    <w:p w14:paraId="24ED6BEF" w14:textId="77777777" w:rsidR="00C44801" w:rsidRPr="003F111D" w:rsidRDefault="00C44801" w:rsidP="00C44801">
      <w:pPr>
        <w:pStyle w:val="BodyText"/>
        <w:spacing w:line="271" w:lineRule="auto"/>
        <w:ind w:left="492" w:right="153"/>
        <w:jc w:val="both"/>
        <w:rPr>
          <w:rFonts w:ascii="Arial"/>
          <w:spacing w:val="-7"/>
          <w:lang w:val="en-ZA"/>
        </w:rPr>
      </w:pPr>
      <w:r w:rsidRPr="003F111D">
        <w:rPr>
          <w:lang w:val="en-ZA"/>
        </w:rPr>
        <w:t xml:space="preserve">     </w:t>
      </w:r>
    </w:p>
    <w:p w14:paraId="43526FF7" w14:textId="0887BC0F" w:rsidR="00C44801" w:rsidRPr="00EB4FA2" w:rsidRDefault="00C44801" w:rsidP="00C44801">
      <w:pPr>
        <w:pStyle w:val="BodyText"/>
        <w:spacing w:line="271" w:lineRule="auto"/>
        <w:ind w:left="831" w:right="152"/>
        <w:jc w:val="both"/>
        <w:rPr>
          <w:rFonts w:ascii="Arial"/>
          <w:lang w:val="en-ZA"/>
        </w:rPr>
      </w:pPr>
      <w:r w:rsidRPr="003F111D">
        <w:rPr>
          <w:rFonts w:ascii="Arial"/>
          <w:i/>
          <w:iCs/>
          <w:sz w:val="22"/>
          <w:szCs w:val="22"/>
          <w:lang w:val="en-ZA"/>
        </w:rPr>
        <w:t>Response</w:t>
      </w:r>
      <w:r w:rsidRPr="003F111D">
        <w:rPr>
          <w:rFonts w:ascii="Arial"/>
          <w:i/>
          <w:iCs/>
          <w:lang w:val="en-ZA"/>
        </w:rPr>
        <w:t xml:space="preserve">: </w:t>
      </w:r>
      <w:r w:rsidRPr="003F111D">
        <w:rPr>
          <w:rFonts w:ascii="Arial" w:hAnsi="Arial" w:cs="Arial"/>
          <w:sz w:val="22"/>
          <w:szCs w:val="22"/>
          <w:u w:val="single"/>
          <w:lang w:val="en-ZA"/>
        </w:rPr>
        <w:t>Accepted</w:t>
      </w:r>
      <w:r w:rsidRPr="003F111D">
        <w:rPr>
          <w:rFonts w:ascii="Arial" w:hAnsi="Arial" w:cs="Arial"/>
          <w:sz w:val="22"/>
          <w:szCs w:val="22"/>
          <w:lang w:val="en-ZA"/>
        </w:rPr>
        <w:t>. Amendments will be made to</w:t>
      </w:r>
      <w:r w:rsidR="00CE6F10" w:rsidRPr="003F111D">
        <w:rPr>
          <w:rFonts w:ascii="Arial" w:hAnsi="Arial" w:cs="Arial"/>
          <w:sz w:val="22"/>
          <w:szCs w:val="22"/>
          <w:lang w:val="en-ZA"/>
        </w:rPr>
        <w:t xml:space="preserve"> allow members to withdraw amounts less than R2,000 from the savings component when they exit the fund</w:t>
      </w:r>
      <w:r w:rsidRPr="003F111D">
        <w:rPr>
          <w:rFonts w:ascii="Arial" w:hAnsi="Arial" w:cs="Arial"/>
          <w:sz w:val="22"/>
          <w:szCs w:val="22"/>
          <w:lang w:val="en-ZA"/>
        </w:rPr>
        <w:t xml:space="preserve"> </w:t>
      </w:r>
      <w:r w:rsidR="00CE6F10" w:rsidRPr="003F111D">
        <w:rPr>
          <w:rFonts w:ascii="Arial" w:hAnsi="Arial" w:cs="Arial"/>
          <w:sz w:val="22"/>
          <w:szCs w:val="22"/>
          <w:lang w:val="en-ZA"/>
        </w:rPr>
        <w:t>.</w:t>
      </w:r>
      <w:r w:rsidR="00CE6F10" w:rsidRPr="003F111D">
        <w:rPr>
          <w:rFonts w:ascii="Arial"/>
          <w:lang w:val="en-ZA"/>
        </w:rPr>
        <w:t xml:space="preserve"> </w:t>
      </w:r>
    </w:p>
    <w:p w14:paraId="09B40365" w14:textId="77777777" w:rsidR="00D579EA" w:rsidRPr="00EB4FA2" w:rsidRDefault="00D579EA" w:rsidP="251BE3F0">
      <w:pPr>
        <w:pStyle w:val="BodyText"/>
        <w:rPr>
          <w:sz w:val="20"/>
          <w:szCs w:val="20"/>
          <w:lang w:val="en-ZA"/>
        </w:rPr>
      </w:pPr>
    </w:p>
    <w:p w14:paraId="094035DF" w14:textId="7E9234CF" w:rsidR="00CE6F10" w:rsidRPr="00EB4FA2" w:rsidRDefault="00CE6F10" w:rsidP="00CE6F10">
      <w:pPr>
        <w:pStyle w:val="4Comment"/>
        <w:ind w:left="425"/>
      </w:pPr>
      <w:r w:rsidRPr="003F111D">
        <w:rPr>
          <w:rFonts w:eastAsia="Arial MT" w:hAnsi="Arial MT" w:cs="Arial MT"/>
          <w:i/>
          <w:iCs/>
          <w:szCs w:val="22"/>
        </w:rPr>
        <w:t>Comment</w:t>
      </w:r>
      <w:r w:rsidRPr="00EB4FA2">
        <w:rPr>
          <w:rFonts w:eastAsia="Arial MT" w:hAnsi="Arial MT" w:cs="Arial MT"/>
          <w:i/>
          <w:iCs/>
          <w:sz w:val="21"/>
          <w:szCs w:val="21"/>
        </w:rPr>
        <w:t>:</w:t>
      </w:r>
      <w:r w:rsidRPr="00EB4FA2">
        <w:rPr>
          <w:rFonts w:eastAsia="Arial MT" w:hAnsi="Arial MT" w:cs="Arial MT"/>
          <w:sz w:val="21"/>
          <w:szCs w:val="21"/>
        </w:rPr>
        <w:tab/>
      </w:r>
      <w:r w:rsidRPr="003F111D">
        <w:rPr>
          <w:rFonts w:eastAsia="Arial MT"/>
          <w:szCs w:val="22"/>
        </w:rPr>
        <w:t>A clarification is needed on the definition of ‘retirement annuity fund’ that permits the payment of one or more lump sum benefits when a member’s interest in the fund is below an amount specified by the Minister in the Gazette (R15,000). Given that we now have member interests in the retirement component, savings component, and vested component, it is unclear what ‘member’s interest in the fund’ specifically refers to.</w:t>
      </w:r>
      <w:r w:rsidRPr="00EB4FA2">
        <w:rPr>
          <w:rFonts w:eastAsia="Arial MT" w:hAnsi="Arial MT" w:cs="Arial MT"/>
          <w:sz w:val="21"/>
          <w:szCs w:val="21"/>
        </w:rPr>
        <w:t xml:space="preserve"> </w:t>
      </w:r>
      <w:r w:rsidRPr="00EB4FA2">
        <w:t xml:space="preserve">      </w:t>
      </w:r>
    </w:p>
    <w:p w14:paraId="7F5F6494" w14:textId="77777777" w:rsidR="00CE6F10" w:rsidRPr="003F111D" w:rsidRDefault="00CE6F10" w:rsidP="00CE6F10">
      <w:pPr>
        <w:pStyle w:val="BodyText"/>
        <w:spacing w:line="271" w:lineRule="auto"/>
        <w:ind w:left="492" w:right="153"/>
        <w:jc w:val="both"/>
        <w:rPr>
          <w:rFonts w:ascii="Arial"/>
          <w:spacing w:val="-7"/>
          <w:lang w:val="en-ZA"/>
        </w:rPr>
      </w:pPr>
      <w:r w:rsidRPr="003F111D">
        <w:rPr>
          <w:lang w:val="en-ZA"/>
        </w:rPr>
        <w:t xml:space="preserve">     </w:t>
      </w:r>
    </w:p>
    <w:p w14:paraId="09A2874B" w14:textId="037D1047" w:rsidR="00CE6F10" w:rsidRPr="003F111D" w:rsidRDefault="00CE6F10" w:rsidP="00CE6F10">
      <w:pPr>
        <w:pStyle w:val="BodyText"/>
        <w:spacing w:line="271" w:lineRule="auto"/>
        <w:ind w:left="831" w:right="152"/>
        <w:jc w:val="both"/>
        <w:rPr>
          <w:rFonts w:ascii="Arial" w:hAnsi="Arial" w:cs="Arial"/>
          <w:sz w:val="22"/>
          <w:szCs w:val="22"/>
          <w:lang w:val="en-ZA"/>
        </w:rPr>
      </w:pPr>
      <w:r w:rsidRPr="003F111D">
        <w:rPr>
          <w:rFonts w:ascii="Arial"/>
          <w:i/>
          <w:iCs/>
          <w:sz w:val="22"/>
          <w:szCs w:val="22"/>
          <w:lang w:val="en-ZA"/>
        </w:rPr>
        <w:t>Response</w:t>
      </w:r>
      <w:r w:rsidRPr="003F111D">
        <w:rPr>
          <w:rFonts w:ascii="Arial"/>
          <w:i/>
          <w:iCs/>
          <w:lang w:val="en-ZA"/>
        </w:rPr>
        <w:t xml:space="preserve">: </w:t>
      </w:r>
      <w:r w:rsidRPr="003F111D">
        <w:rPr>
          <w:rFonts w:ascii="Arial" w:hAnsi="Arial" w:cs="Arial"/>
          <w:sz w:val="22"/>
          <w:szCs w:val="22"/>
          <w:u w:val="single"/>
          <w:lang w:val="en-ZA"/>
        </w:rPr>
        <w:t>Accepted</w:t>
      </w:r>
      <w:r w:rsidRPr="003F111D">
        <w:rPr>
          <w:rFonts w:ascii="Arial" w:hAnsi="Arial" w:cs="Arial"/>
          <w:sz w:val="22"/>
          <w:szCs w:val="22"/>
          <w:lang w:val="en-ZA"/>
        </w:rPr>
        <w:t xml:space="preserve">. To align closely with the current legislation, if the combined value of the retirement </w:t>
      </w:r>
      <w:r w:rsidR="00596C50">
        <w:rPr>
          <w:rFonts w:ascii="Arial" w:hAnsi="Arial" w:cs="Arial"/>
          <w:sz w:val="22"/>
          <w:szCs w:val="22"/>
          <w:lang w:val="en-ZA"/>
        </w:rPr>
        <w:t>compo</w:t>
      </w:r>
      <w:r w:rsidR="00340DB4">
        <w:rPr>
          <w:rFonts w:ascii="Arial" w:hAnsi="Arial" w:cs="Arial"/>
          <w:sz w:val="22"/>
          <w:szCs w:val="22"/>
          <w:lang w:val="en-ZA"/>
        </w:rPr>
        <w:t>nent</w:t>
      </w:r>
      <w:r w:rsidRPr="003F111D">
        <w:rPr>
          <w:rFonts w:ascii="Arial" w:hAnsi="Arial" w:cs="Arial"/>
          <w:sz w:val="22"/>
          <w:szCs w:val="22"/>
          <w:lang w:val="en-ZA"/>
        </w:rPr>
        <w:t xml:space="preserve"> and the vested </w:t>
      </w:r>
      <w:r w:rsidR="00340DB4">
        <w:rPr>
          <w:rFonts w:ascii="Arial" w:hAnsi="Arial" w:cs="Arial"/>
          <w:sz w:val="22"/>
          <w:szCs w:val="22"/>
          <w:lang w:val="en-ZA"/>
        </w:rPr>
        <w:t>component</w:t>
      </w:r>
      <w:r w:rsidRPr="003F111D">
        <w:rPr>
          <w:rFonts w:ascii="Arial" w:hAnsi="Arial" w:cs="Arial"/>
          <w:sz w:val="22"/>
          <w:szCs w:val="22"/>
          <w:lang w:val="en-ZA"/>
        </w:rPr>
        <w:t xml:space="preserve"> is below R15,000, it can be taken as a lump sum. </w:t>
      </w:r>
    </w:p>
    <w:p w14:paraId="57957B63" w14:textId="77777777" w:rsidR="00D579EA" w:rsidRPr="00EB4FA2" w:rsidRDefault="00D579EA" w:rsidP="251BE3F0">
      <w:pPr>
        <w:pStyle w:val="BodyText"/>
        <w:rPr>
          <w:sz w:val="20"/>
          <w:szCs w:val="20"/>
          <w:lang w:val="en-ZA"/>
        </w:rPr>
      </w:pPr>
    </w:p>
    <w:p w14:paraId="76BCA6DB" w14:textId="77777777" w:rsidR="00D579EA" w:rsidRPr="00EB4FA2" w:rsidRDefault="00D579EA" w:rsidP="251BE3F0">
      <w:pPr>
        <w:pStyle w:val="BodyText"/>
        <w:rPr>
          <w:sz w:val="20"/>
          <w:szCs w:val="20"/>
          <w:lang w:val="en-ZA"/>
        </w:rPr>
      </w:pPr>
    </w:p>
    <w:p w14:paraId="2272EE4F" w14:textId="77777777" w:rsidR="00D579EA" w:rsidRPr="00EB4FA2" w:rsidRDefault="00D579EA" w:rsidP="251BE3F0">
      <w:pPr>
        <w:pStyle w:val="BodyText"/>
        <w:rPr>
          <w:sz w:val="20"/>
          <w:szCs w:val="20"/>
          <w:lang w:val="en-ZA"/>
        </w:rPr>
      </w:pPr>
    </w:p>
    <w:p w14:paraId="1488752E" w14:textId="77777777" w:rsidR="00D579EA" w:rsidRPr="00EB4FA2" w:rsidRDefault="00D579EA" w:rsidP="251BE3F0">
      <w:pPr>
        <w:pStyle w:val="BodyText"/>
        <w:rPr>
          <w:sz w:val="20"/>
          <w:szCs w:val="20"/>
          <w:lang w:val="en-ZA"/>
        </w:rPr>
      </w:pPr>
    </w:p>
    <w:p w14:paraId="1D40FD6B" w14:textId="77777777" w:rsidR="00BC5CE8" w:rsidRPr="00EB4FA2" w:rsidRDefault="00BC5CE8" w:rsidP="251BE3F0">
      <w:pPr>
        <w:pStyle w:val="BodyText"/>
        <w:rPr>
          <w:sz w:val="20"/>
          <w:szCs w:val="20"/>
          <w:lang w:val="en-ZA"/>
        </w:rPr>
      </w:pPr>
    </w:p>
    <w:p w14:paraId="502DC4D8" w14:textId="77777777" w:rsidR="00BC5CE8" w:rsidRPr="00EB4FA2" w:rsidRDefault="00BC5CE8" w:rsidP="251BE3F0">
      <w:pPr>
        <w:pStyle w:val="BodyText"/>
        <w:rPr>
          <w:sz w:val="20"/>
          <w:szCs w:val="20"/>
          <w:lang w:val="en-ZA"/>
        </w:rPr>
      </w:pPr>
    </w:p>
    <w:p w14:paraId="61285719" w14:textId="5D16889C" w:rsidR="00375F5E" w:rsidRPr="00EB4FA2" w:rsidRDefault="454DE0F2" w:rsidP="003F111D">
      <w:pPr>
        <w:pStyle w:val="4Comment"/>
        <w:jc w:val="center"/>
      </w:pPr>
      <w:r w:rsidRPr="00EB4FA2">
        <w:rPr>
          <w:b/>
          <w:bCs/>
          <w:sz w:val="28"/>
          <w:szCs w:val="28"/>
        </w:rPr>
        <w:t>202</w:t>
      </w:r>
      <w:r w:rsidR="3A8F273F" w:rsidRPr="00EB4FA2">
        <w:rPr>
          <w:b/>
          <w:bCs/>
          <w:sz w:val="28"/>
          <w:szCs w:val="28"/>
        </w:rPr>
        <w:t>4</w:t>
      </w:r>
      <w:r w:rsidRPr="00EB4FA2">
        <w:rPr>
          <w:b/>
          <w:bCs/>
          <w:sz w:val="28"/>
          <w:szCs w:val="28"/>
        </w:rPr>
        <w:t xml:space="preserve"> Draft Rates and Monetary Amounts and Amendment of Revenue Laws Bill</w:t>
      </w:r>
    </w:p>
    <w:p w14:paraId="6E3AAA39" w14:textId="5FF5F4F1" w:rsidR="00375F5E" w:rsidRPr="00EB4FA2" w:rsidRDefault="454DE0F2" w:rsidP="003F111D">
      <w:pPr>
        <w:pStyle w:val="1Section"/>
        <w:numPr>
          <w:ilvl w:val="0"/>
          <w:numId w:val="37"/>
        </w:numPr>
        <w:spacing w:line="276" w:lineRule="auto"/>
        <w:ind w:left="450" w:hanging="360"/>
        <w:rPr>
          <w:szCs w:val="24"/>
        </w:rPr>
      </w:pPr>
      <w:bookmarkStart w:id="31" w:name="_TOC_250041"/>
      <w:bookmarkStart w:id="32" w:name="_Toc189212094"/>
      <w:r w:rsidRPr="00EB4FA2">
        <w:t>CUSTOMS AND EXCISE: INCREASE IN THE EXCISE DUTY ON ALCOHOL</w:t>
      </w:r>
      <w:r w:rsidR="65B0055D" w:rsidRPr="00EB4FA2">
        <w:t>,</w:t>
      </w:r>
      <w:r w:rsidR="0BF049DE" w:rsidRPr="00EB4FA2">
        <w:t xml:space="preserve"> </w:t>
      </w:r>
      <w:bookmarkEnd w:id="31"/>
      <w:r w:rsidRPr="00EB4FA2">
        <w:t>TOBACCO</w:t>
      </w:r>
      <w:r w:rsidR="763E7DEB" w:rsidRPr="00EB4FA2">
        <w:t xml:space="preserve"> AND ELECTRONIC NICOTINE AND NON-NICOTINE DELIVERY SYSTEMS</w:t>
      </w:r>
      <w:bookmarkEnd w:id="32"/>
    </w:p>
    <w:p w14:paraId="54D887DE" w14:textId="56EAE917" w:rsidR="00375F5E" w:rsidRPr="003F111D" w:rsidRDefault="5D70B49F" w:rsidP="003F111D">
      <w:pPr>
        <w:pStyle w:val="Heading3"/>
        <w:numPr>
          <w:ilvl w:val="1"/>
          <w:numId w:val="37"/>
        </w:numPr>
        <w:tabs>
          <w:tab w:val="left" w:pos="961"/>
        </w:tabs>
        <w:spacing w:before="205"/>
        <w:rPr>
          <w:sz w:val="22"/>
          <w:szCs w:val="22"/>
          <w:lang w:val="en-ZA"/>
        </w:rPr>
      </w:pPr>
      <w:bookmarkStart w:id="33" w:name="_Toc189212095"/>
      <w:r w:rsidRPr="003F111D">
        <w:rPr>
          <w:sz w:val="22"/>
          <w:szCs w:val="22"/>
          <w:lang w:val="en-ZA"/>
        </w:rPr>
        <w:t>Increase in excise duty on tobacco</w:t>
      </w:r>
      <w:bookmarkEnd w:id="33"/>
    </w:p>
    <w:p w14:paraId="7CE0C95F" w14:textId="77777777" w:rsidR="00AF5CA9" w:rsidRDefault="00AF5CA9" w:rsidP="006F73F9">
      <w:pPr>
        <w:pStyle w:val="BodyText"/>
        <w:spacing w:line="271" w:lineRule="auto"/>
        <w:ind w:right="152"/>
        <w:jc w:val="both"/>
        <w:rPr>
          <w:rFonts w:ascii="Arial" w:hAnsi="Arial" w:cs="Arial"/>
          <w:iCs/>
          <w:sz w:val="22"/>
          <w:szCs w:val="22"/>
          <w:lang w:val="en-ZA"/>
        </w:rPr>
      </w:pPr>
    </w:p>
    <w:p w14:paraId="76CF3B8A" w14:textId="0F4F195A" w:rsidR="00AF5CA9" w:rsidRPr="00AF5CA9" w:rsidRDefault="00AF5CA9" w:rsidP="00AF5CA9">
      <w:pPr>
        <w:pStyle w:val="BodyText"/>
        <w:spacing w:line="271" w:lineRule="auto"/>
        <w:ind w:left="831" w:right="152"/>
        <w:rPr>
          <w:rFonts w:ascii="Arial" w:hAnsi="Arial" w:cs="Arial"/>
          <w:iCs/>
        </w:rPr>
      </w:pPr>
      <w:r w:rsidRPr="00AF5CA9">
        <w:rPr>
          <w:rFonts w:ascii="Arial" w:hAnsi="Arial" w:cs="Arial"/>
          <w:iCs/>
        </w:rPr>
        <w:t xml:space="preserve">In the 2024 February Budget and the current Draft Rates Bill, a proposal was made to increase excise duties on alcoholic beverages by between 6.7 and 7.2 per cent for 2024/25. </w:t>
      </w:r>
    </w:p>
    <w:p w14:paraId="0FD1B035" w14:textId="38E23167" w:rsidR="00375F5E" w:rsidRPr="00EB4FA2" w:rsidRDefault="00375F5E" w:rsidP="5BCFEF27">
      <w:pPr>
        <w:spacing w:line="276" w:lineRule="auto"/>
        <w:ind w:left="720"/>
        <w:jc w:val="both"/>
        <w:rPr>
          <w:rFonts w:ascii="Arial" w:eastAsia="Arial" w:hAnsi="Arial" w:cs="Arial"/>
          <w:b/>
          <w:bCs/>
          <w:i/>
          <w:iCs/>
        </w:rPr>
      </w:pPr>
    </w:p>
    <w:p w14:paraId="29432B62" w14:textId="545BF2AE" w:rsidR="00375F5E" w:rsidRPr="003F111D" w:rsidRDefault="5D70B49F" w:rsidP="003F111D">
      <w:pPr>
        <w:pStyle w:val="BodyText"/>
        <w:spacing w:line="271" w:lineRule="auto"/>
        <w:ind w:left="492" w:right="153"/>
        <w:jc w:val="both"/>
        <w:rPr>
          <w:rFonts w:ascii="Arial" w:hAnsi="Arial" w:cs="Arial"/>
          <w:i/>
        </w:rPr>
      </w:pPr>
      <w:r w:rsidRPr="003F111D">
        <w:rPr>
          <w:rFonts w:ascii="Arial" w:hAnsi="Arial" w:cs="Arial"/>
          <w:i/>
          <w:sz w:val="22"/>
          <w:szCs w:val="22"/>
          <w:lang w:val="en-ZA"/>
        </w:rPr>
        <w:t>Comment</w:t>
      </w:r>
      <w:r w:rsidR="00161FB5" w:rsidRPr="003F111D">
        <w:rPr>
          <w:rFonts w:ascii="Arial" w:hAnsi="Arial" w:cs="Arial"/>
          <w:i/>
          <w:sz w:val="22"/>
          <w:szCs w:val="22"/>
          <w:lang w:val="en-ZA"/>
        </w:rPr>
        <w:t xml:space="preserve">: </w:t>
      </w:r>
      <w:r w:rsidR="00CE3CFC" w:rsidRPr="00CE3CFC">
        <w:rPr>
          <w:rFonts w:ascii="Arial" w:hAnsi="Arial" w:cs="Arial"/>
          <w:iCs/>
          <w:sz w:val="22"/>
          <w:szCs w:val="22"/>
          <w:lang w:val="en-ZA"/>
        </w:rPr>
        <w:t>Since cigarettes are the most commonly used product, and in order to effectively reduce its affordability while at the same time increasing revenues, it is recommended that tax rates for cigarettes are increased above inflation, that is above the current inflation rate of about 5%. An increase similar to or above the increase proposed for other tobacco products (at 8.2%) would yield better health and revenue benefits. Recommends a tax increase of 8-10% for cigarettes</w:t>
      </w:r>
      <w:r w:rsidR="00161FB5" w:rsidRPr="003F111D">
        <w:rPr>
          <w:rFonts w:ascii="Arial" w:hAnsi="Arial" w:cs="Arial"/>
          <w:iCs/>
          <w:sz w:val="22"/>
          <w:szCs w:val="22"/>
          <w:lang w:val="en-ZA"/>
        </w:rPr>
        <w:t>.</w:t>
      </w:r>
    </w:p>
    <w:p w14:paraId="531403DF" w14:textId="5F40CB13" w:rsidR="00375F5E" w:rsidRPr="00EB4FA2" w:rsidRDefault="5D70B49F" w:rsidP="5BCFEF27">
      <w:pPr>
        <w:spacing w:line="276" w:lineRule="auto"/>
        <w:ind w:left="720"/>
        <w:jc w:val="both"/>
      </w:pPr>
      <w:r w:rsidRPr="00EB4FA2">
        <w:rPr>
          <w:rFonts w:ascii="Arial" w:eastAsia="Arial" w:hAnsi="Arial" w:cs="Arial"/>
        </w:rPr>
        <w:t xml:space="preserve"> </w:t>
      </w:r>
    </w:p>
    <w:p w14:paraId="1A737A0A" w14:textId="3960CFC1" w:rsidR="00375F5E" w:rsidRPr="003F111D" w:rsidRDefault="5D70B49F" w:rsidP="003F111D">
      <w:pPr>
        <w:pStyle w:val="BodyText"/>
        <w:spacing w:line="271" w:lineRule="auto"/>
        <w:ind w:left="831" w:right="152"/>
        <w:jc w:val="both"/>
        <w:rPr>
          <w:rFonts w:ascii="Arial" w:hAnsi="Arial" w:cs="Arial"/>
          <w:i/>
        </w:rPr>
      </w:pPr>
      <w:r w:rsidRPr="003F111D">
        <w:rPr>
          <w:rFonts w:ascii="Arial" w:hAnsi="Arial" w:cs="Arial"/>
          <w:i/>
          <w:sz w:val="22"/>
          <w:szCs w:val="22"/>
          <w:lang w:val="en-ZA"/>
        </w:rPr>
        <w:t>Response</w:t>
      </w:r>
      <w:r w:rsidRPr="003F111D">
        <w:rPr>
          <w:rFonts w:ascii="Arial" w:hAnsi="Arial" w:cs="Arial"/>
          <w:iCs/>
          <w:sz w:val="22"/>
          <w:szCs w:val="22"/>
          <w:lang w:val="en-ZA"/>
        </w:rPr>
        <w:t xml:space="preserve">: </w:t>
      </w:r>
      <w:r w:rsidRPr="003F111D">
        <w:rPr>
          <w:rFonts w:ascii="Arial" w:hAnsi="Arial" w:cs="Arial"/>
          <w:iCs/>
          <w:sz w:val="22"/>
          <w:szCs w:val="22"/>
          <w:u w:val="single"/>
          <w:lang w:val="en-ZA"/>
        </w:rPr>
        <w:t>Noted</w:t>
      </w:r>
      <w:r w:rsidRPr="003F111D">
        <w:rPr>
          <w:rFonts w:ascii="Arial" w:hAnsi="Arial" w:cs="Arial"/>
          <w:iCs/>
          <w:sz w:val="22"/>
          <w:szCs w:val="22"/>
          <w:lang w:val="en-ZA"/>
        </w:rPr>
        <w:t>.</w:t>
      </w:r>
      <w:r w:rsidR="00293461">
        <w:rPr>
          <w:rFonts w:ascii="Arial" w:hAnsi="Arial" w:cs="Arial"/>
          <w:iCs/>
          <w:sz w:val="22"/>
          <w:szCs w:val="22"/>
          <w:lang w:val="en-ZA"/>
        </w:rPr>
        <w:t xml:space="preserve"> </w:t>
      </w:r>
      <w:r w:rsidR="00293461" w:rsidRPr="00293461">
        <w:rPr>
          <w:rFonts w:ascii="Arial" w:hAnsi="Arial" w:cs="Arial"/>
          <w:iCs/>
          <w:sz w:val="22"/>
          <w:szCs w:val="22"/>
          <w:lang w:val="en-ZA"/>
        </w:rPr>
        <w:t>The excise duty rates increase proposal in the budget considers all other factors not just the quantum of the rate</w:t>
      </w:r>
      <w:r w:rsidRPr="003F111D">
        <w:rPr>
          <w:rFonts w:ascii="Arial" w:hAnsi="Arial" w:cs="Arial"/>
          <w:i/>
          <w:sz w:val="22"/>
          <w:szCs w:val="22"/>
          <w:lang w:val="en-ZA"/>
        </w:rPr>
        <w:t xml:space="preserve">. </w:t>
      </w:r>
    </w:p>
    <w:p w14:paraId="7492301D" w14:textId="77777777" w:rsidR="00694F11" w:rsidRPr="003F111D" w:rsidRDefault="00694F11" w:rsidP="00694F11">
      <w:pPr>
        <w:spacing w:line="276" w:lineRule="auto"/>
        <w:ind w:left="567"/>
        <w:jc w:val="both"/>
        <w:rPr>
          <w:rFonts w:ascii="Arial"/>
          <w:sz w:val="21"/>
          <w:szCs w:val="21"/>
        </w:rPr>
      </w:pPr>
    </w:p>
    <w:p w14:paraId="6CE5EC8E" w14:textId="43A1532D" w:rsidR="00375F5E" w:rsidRPr="00EB4FA2" w:rsidRDefault="5D70B49F" w:rsidP="00517557">
      <w:pPr>
        <w:pStyle w:val="BodyText"/>
        <w:spacing w:line="271" w:lineRule="auto"/>
        <w:ind w:left="492" w:right="153"/>
        <w:jc w:val="both"/>
        <w:rPr>
          <w:rFonts w:ascii="Arial" w:hAnsi="Arial" w:cs="Arial"/>
          <w:iCs/>
          <w:sz w:val="22"/>
          <w:szCs w:val="22"/>
          <w:lang w:val="en-ZA"/>
        </w:rPr>
      </w:pPr>
      <w:r w:rsidRPr="003F111D">
        <w:rPr>
          <w:rFonts w:ascii="Arial" w:hAnsi="Arial" w:cs="Arial"/>
          <w:i/>
          <w:sz w:val="22"/>
          <w:szCs w:val="22"/>
          <w:lang w:val="en-ZA"/>
        </w:rPr>
        <w:t xml:space="preserve">Comment: </w:t>
      </w:r>
      <w:r w:rsidR="00106586" w:rsidRPr="00106586">
        <w:rPr>
          <w:rFonts w:ascii="Arial" w:hAnsi="Arial" w:cs="Arial"/>
          <w:iCs/>
          <w:sz w:val="22"/>
          <w:szCs w:val="22"/>
          <w:lang w:val="en-ZA"/>
        </w:rPr>
        <w:t>The current structure of excise applied on heated tobacco products is in line with WHO’s recommendations to tax HTPs, that is, to apply a specific excise on the basis of sticks, similar to cigarettes. However, the rate applied on HTP is 75% of the cigarette excise rate. HTPs contain tobacco and should be treated as tobacco products. Decision 22 of the WHO FCTC COP recognizes that “heated tobacco products are tobacco products and are therefore subject to the provisions of the WHO FCTC”. In light of this decision, recommend that the excise tax rate applied on HTPs should be the same as the rate applied on cigarettes.</w:t>
      </w:r>
      <w:r w:rsidRPr="003F111D">
        <w:rPr>
          <w:rFonts w:ascii="Arial" w:hAnsi="Arial" w:cs="Arial"/>
          <w:iCs/>
          <w:sz w:val="22"/>
          <w:szCs w:val="22"/>
          <w:lang w:val="en-ZA"/>
        </w:rPr>
        <w:t>.</w:t>
      </w:r>
    </w:p>
    <w:p w14:paraId="11AF5427" w14:textId="77777777" w:rsidR="00517557" w:rsidRPr="003F111D" w:rsidRDefault="00517557" w:rsidP="003F111D">
      <w:pPr>
        <w:pStyle w:val="BodyText"/>
        <w:spacing w:line="271" w:lineRule="auto"/>
        <w:ind w:left="492" w:right="153"/>
        <w:jc w:val="both"/>
        <w:rPr>
          <w:rFonts w:ascii="Arial" w:hAnsi="Arial" w:cs="Arial"/>
          <w:iCs/>
          <w:sz w:val="22"/>
          <w:szCs w:val="22"/>
          <w:lang w:val="en-ZA"/>
        </w:rPr>
      </w:pPr>
    </w:p>
    <w:p w14:paraId="619078F2" w14:textId="74B6BE85" w:rsidR="00517557" w:rsidRDefault="5D70B49F" w:rsidP="004A32D3">
      <w:pPr>
        <w:pStyle w:val="BodyText"/>
        <w:spacing w:line="271" w:lineRule="auto"/>
        <w:ind w:left="831" w:right="152"/>
        <w:jc w:val="both"/>
        <w:rPr>
          <w:rFonts w:ascii="Arial" w:hAnsi="Arial" w:cs="Arial"/>
          <w:iCs/>
          <w:sz w:val="22"/>
          <w:szCs w:val="22"/>
          <w:lang w:val="en-ZA"/>
        </w:rPr>
      </w:pPr>
      <w:r w:rsidRPr="00EB4FA2">
        <w:rPr>
          <w:b/>
          <w:bCs/>
          <w:i/>
          <w:iCs/>
          <w:lang w:val="en-ZA"/>
        </w:rPr>
        <w:t xml:space="preserve"> </w:t>
      </w:r>
      <w:r w:rsidRPr="003F111D">
        <w:rPr>
          <w:rFonts w:ascii="Arial" w:hAnsi="Arial" w:cs="Arial"/>
          <w:i/>
          <w:sz w:val="22"/>
          <w:szCs w:val="22"/>
          <w:lang w:val="en-ZA"/>
        </w:rPr>
        <w:t xml:space="preserve">Response: </w:t>
      </w:r>
      <w:r w:rsidRPr="003F111D">
        <w:rPr>
          <w:rFonts w:ascii="Arial" w:hAnsi="Arial" w:cs="Arial"/>
          <w:iCs/>
          <w:sz w:val="22"/>
          <w:szCs w:val="22"/>
          <w:u w:val="single"/>
          <w:lang w:val="en-ZA"/>
        </w:rPr>
        <w:t>Noted</w:t>
      </w:r>
      <w:r w:rsidRPr="003F111D">
        <w:rPr>
          <w:rFonts w:ascii="Arial" w:hAnsi="Arial" w:cs="Arial"/>
          <w:iCs/>
          <w:sz w:val="22"/>
          <w:szCs w:val="22"/>
          <w:lang w:val="en-ZA"/>
        </w:rPr>
        <w:t xml:space="preserve">. </w:t>
      </w:r>
      <w:r w:rsidR="00242EE2" w:rsidRPr="00242EE2">
        <w:rPr>
          <w:rFonts w:ascii="Arial" w:hAnsi="Arial" w:cs="Arial"/>
          <w:iCs/>
          <w:sz w:val="22"/>
          <w:szCs w:val="22"/>
          <w:lang w:val="en-ZA"/>
        </w:rPr>
        <w:t>Any changes to the current structure will be subject to a tobacco excise review process</w:t>
      </w:r>
      <w:r w:rsidRPr="003F111D">
        <w:rPr>
          <w:rFonts w:ascii="Arial" w:hAnsi="Arial" w:cs="Arial"/>
          <w:iCs/>
          <w:sz w:val="22"/>
          <w:szCs w:val="22"/>
          <w:lang w:val="en-ZA"/>
        </w:rPr>
        <w:t>.</w:t>
      </w:r>
    </w:p>
    <w:p w14:paraId="08CAA376" w14:textId="77777777" w:rsidR="00B5565F" w:rsidRPr="004A32D3" w:rsidRDefault="00B5565F" w:rsidP="004A32D3">
      <w:pPr>
        <w:pStyle w:val="BodyText"/>
        <w:spacing w:line="271" w:lineRule="auto"/>
        <w:ind w:left="831" w:right="152"/>
        <w:jc w:val="both"/>
        <w:rPr>
          <w:rFonts w:ascii="Arial" w:hAnsi="Arial" w:cs="Arial"/>
          <w:iCs/>
          <w:sz w:val="22"/>
          <w:szCs w:val="22"/>
          <w:lang w:val="en-ZA"/>
        </w:rPr>
      </w:pPr>
    </w:p>
    <w:p w14:paraId="4C22987A" w14:textId="7CEE34A9" w:rsidR="00375F5E" w:rsidRPr="00EB4FA2" w:rsidRDefault="0B53AF01" w:rsidP="003F111D">
      <w:pPr>
        <w:pStyle w:val="Heading3"/>
        <w:numPr>
          <w:ilvl w:val="1"/>
          <w:numId w:val="37"/>
        </w:numPr>
        <w:tabs>
          <w:tab w:val="left" w:pos="961"/>
        </w:tabs>
        <w:spacing w:before="205"/>
        <w:rPr>
          <w:sz w:val="22"/>
          <w:szCs w:val="22"/>
          <w:lang w:val="en-ZA"/>
        </w:rPr>
      </w:pPr>
      <w:bookmarkStart w:id="34" w:name="_Toc189212096"/>
      <w:r w:rsidRPr="00EB4FA2">
        <w:rPr>
          <w:sz w:val="22"/>
          <w:szCs w:val="22"/>
          <w:lang w:val="en-ZA"/>
        </w:rPr>
        <w:t>Increase in excise duty on alcohol products</w:t>
      </w:r>
      <w:bookmarkEnd w:id="34"/>
    </w:p>
    <w:p w14:paraId="05B158BB" w14:textId="6021FB82" w:rsidR="00375F5E" w:rsidRPr="00EB4FA2" w:rsidRDefault="00375F5E" w:rsidP="251BE3F0">
      <w:pPr>
        <w:spacing w:line="276" w:lineRule="auto"/>
        <w:ind w:left="568"/>
        <w:jc w:val="both"/>
        <w:rPr>
          <w:rFonts w:ascii="Arial" w:eastAsia="Arial" w:hAnsi="Arial" w:cs="Arial"/>
        </w:rPr>
      </w:pPr>
    </w:p>
    <w:p w14:paraId="5F788151" w14:textId="1C4292E7" w:rsidR="00375F5E" w:rsidRPr="003F111D" w:rsidRDefault="00B34DC9" w:rsidP="003F111D">
      <w:pPr>
        <w:pStyle w:val="BodyText"/>
        <w:spacing w:line="271" w:lineRule="auto"/>
        <w:ind w:left="831" w:right="152"/>
        <w:jc w:val="both"/>
        <w:rPr>
          <w:rFonts w:ascii="Arial" w:hAnsi="Arial" w:cs="Arial"/>
          <w:iCs/>
          <w:sz w:val="22"/>
          <w:szCs w:val="22"/>
          <w:lang w:val="en-ZA"/>
        </w:rPr>
      </w:pPr>
      <w:r w:rsidRPr="00B34DC9">
        <w:rPr>
          <w:rFonts w:ascii="Arial" w:hAnsi="Arial" w:cs="Arial"/>
          <w:iCs/>
          <w:sz w:val="22"/>
          <w:szCs w:val="22"/>
          <w:lang w:val="en-ZA"/>
        </w:rPr>
        <w:t>In the 2024 February Budget and the current Draft Rates Bill, a proposal was made to increase excise duties on alcoholic beverages by between 6.7 and 7.2 per cent for 2024/25</w:t>
      </w:r>
      <w:r w:rsidR="0B53AF01" w:rsidRPr="003F111D">
        <w:rPr>
          <w:rFonts w:ascii="Arial" w:hAnsi="Arial" w:cs="Arial"/>
          <w:iCs/>
          <w:sz w:val="22"/>
          <w:szCs w:val="22"/>
          <w:lang w:val="en-ZA"/>
        </w:rPr>
        <w:t xml:space="preserve">. </w:t>
      </w:r>
    </w:p>
    <w:p w14:paraId="0C499828" w14:textId="445A0778" w:rsidR="00375F5E" w:rsidRPr="00EB4FA2" w:rsidRDefault="0B53AF01" w:rsidP="5BCFEF27">
      <w:pPr>
        <w:spacing w:line="276" w:lineRule="auto"/>
        <w:ind w:left="720"/>
        <w:jc w:val="both"/>
        <w:rPr>
          <w:rFonts w:ascii="Arial" w:eastAsia="Arial" w:hAnsi="Arial" w:cs="Arial"/>
          <w:b/>
          <w:bCs/>
          <w:i/>
          <w:iCs/>
        </w:rPr>
      </w:pPr>
      <w:r w:rsidRPr="00EB4FA2">
        <w:rPr>
          <w:rFonts w:ascii="Arial" w:eastAsia="Arial" w:hAnsi="Arial" w:cs="Arial"/>
          <w:b/>
          <w:bCs/>
          <w:i/>
          <w:iCs/>
        </w:rPr>
        <w:t xml:space="preserve"> </w:t>
      </w:r>
    </w:p>
    <w:p w14:paraId="384D6E8E" w14:textId="2EB0799B" w:rsidR="00375F5E" w:rsidRPr="003F111D" w:rsidRDefault="0B53AF01" w:rsidP="003F111D">
      <w:pPr>
        <w:pStyle w:val="BodyText"/>
        <w:spacing w:line="271" w:lineRule="auto"/>
        <w:ind w:left="492" w:right="153"/>
        <w:jc w:val="both"/>
        <w:rPr>
          <w:rFonts w:ascii="Arial" w:hAnsi="Arial" w:cs="Arial"/>
          <w:iCs/>
        </w:rPr>
      </w:pPr>
      <w:r w:rsidRPr="003F111D">
        <w:rPr>
          <w:rFonts w:ascii="Arial" w:hAnsi="Arial" w:cs="Arial"/>
          <w:i/>
          <w:sz w:val="22"/>
          <w:szCs w:val="22"/>
          <w:lang w:val="en-ZA"/>
        </w:rPr>
        <w:t xml:space="preserve">Comment: </w:t>
      </w:r>
      <w:r w:rsidR="0024422F" w:rsidRPr="0024422F">
        <w:rPr>
          <w:rFonts w:ascii="Arial" w:hAnsi="Arial" w:cs="Arial"/>
          <w:iCs/>
          <w:sz w:val="22"/>
          <w:szCs w:val="22"/>
          <w:lang w:val="en-ZA"/>
        </w:rPr>
        <w:t>The confirmed policy position in respect of spirits is a targeted incidence of 36% of the weighted average price of a bottle of spirits in the South African alcohol market. Our market analysis confirms that our producers and importers of spirits pay approximately 38.5% excise tax on average on a bottle of spirits. This is currently trending almost 7% higher than government’s excise policy and significantly higher than the average for both emerging markets (27%) and developed markets (22%). This analysis was conducted even before the latest adjustment was introduced in February 2024.  We hold the view that excise adjustments should be below the prevailing CPI</w:t>
      </w:r>
      <w:r w:rsidR="1E64E7F1" w:rsidRPr="003F111D">
        <w:rPr>
          <w:rFonts w:ascii="Arial" w:hAnsi="Arial" w:cs="Arial"/>
          <w:iCs/>
          <w:sz w:val="22"/>
          <w:szCs w:val="22"/>
          <w:lang w:val="en-ZA"/>
        </w:rPr>
        <w:t xml:space="preserve">.  </w:t>
      </w:r>
    </w:p>
    <w:p w14:paraId="4887C9C9" w14:textId="6C4260E1" w:rsidR="00375F5E" w:rsidRPr="00EB4FA2" w:rsidRDefault="0B53AF01" w:rsidP="5BCFEF27">
      <w:pPr>
        <w:spacing w:line="276" w:lineRule="auto"/>
        <w:ind w:left="720"/>
        <w:jc w:val="both"/>
        <w:rPr>
          <w:rFonts w:ascii="Arial" w:eastAsia="Arial" w:hAnsi="Arial" w:cs="Arial"/>
          <w:i/>
          <w:iCs/>
        </w:rPr>
      </w:pPr>
      <w:r w:rsidRPr="00EB4FA2">
        <w:rPr>
          <w:rFonts w:ascii="Arial" w:eastAsia="Arial" w:hAnsi="Arial" w:cs="Arial"/>
          <w:i/>
          <w:iCs/>
        </w:rPr>
        <w:t xml:space="preserve"> </w:t>
      </w:r>
    </w:p>
    <w:p w14:paraId="7AFA9E83" w14:textId="05B87F4F" w:rsidR="00375F5E" w:rsidRPr="003F111D" w:rsidRDefault="0B53AF01" w:rsidP="003F111D">
      <w:pPr>
        <w:pStyle w:val="BodyText"/>
        <w:spacing w:line="271" w:lineRule="auto"/>
        <w:ind w:left="831" w:right="152"/>
        <w:jc w:val="both"/>
        <w:rPr>
          <w:rFonts w:ascii="Arial" w:hAnsi="Arial" w:cs="Arial"/>
          <w:i/>
          <w:sz w:val="22"/>
          <w:szCs w:val="22"/>
          <w:lang w:val="en-ZA"/>
        </w:rPr>
      </w:pPr>
      <w:r w:rsidRPr="003F111D">
        <w:rPr>
          <w:rFonts w:ascii="Arial" w:hAnsi="Arial" w:cs="Arial"/>
          <w:i/>
          <w:sz w:val="22"/>
          <w:szCs w:val="22"/>
          <w:lang w:val="en-ZA"/>
        </w:rPr>
        <w:t xml:space="preserve">Response: </w:t>
      </w:r>
      <w:r w:rsidRPr="003F111D">
        <w:rPr>
          <w:rFonts w:ascii="Arial" w:hAnsi="Arial" w:cs="Arial"/>
          <w:iCs/>
          <w:sz w:val="22"/>
          <w:szCs w:val="22"/>
          <w:u w:val="single"/>
          <w:lang w:val="en-ZA"/>
        </w:rPr>
        <w:t>Not Accepted</w:t>
      </w:r>
      <w:r w:rsidRPr="003F111D">
        <w:rPr>
          <w:rFonts w:ascii="Arial" w:hAnsi="Arial" w:cs="Arial"/>
          <w:iCs/>
          <w:sz w:val="22"/>
          <w:szCs w:val="22"/>
          <w:lang w:val="en-ZA"/>
        </w:rPr>
        <w:t xml:space="preserve">. </w:t>
      </w:r>
      <w:r w:rsidR="000B334F" w:rsidRPr="000B334F">
        <w:rPr>
          <w:rFonts w:ascii="Arial" w:hAnsi="Arial" w:cs="Arial"/>
          <w:iCs/>
          <w:sz w:val="22"/>
          <w:szCs w:val="22"/>
          <w:lang w:val="en-ZA"/>
        </w:rPr>
        <w:t>There is an excise tax policy guideline in place to increase the excise rates by at least inflation or targeted incidence, whichever is higher, on an annual basis. Also, the adherence to the policy guidelines is not only dependent on Governments annual excise rate increases but also on the behaviour of the industry regarding the excise duty pass-through and pricing of alcoholic products. If the price increases are lower than excise rate increases, it is inevitable that the incidence will be exceeded</w:t>
      </w:r>
      <w:r w:rsidRPr="003F111D">
        <w:rPr>
          <w:rFonts w:ascii="Arial" w:hAnsi="Arial" w:cs="Arial"/>
          <w:iCs/>
          <w:sz w:val="22"/>
          <w:szCs w:val="22"/>
          <w:lang w:val="en-ZA"/>
        </w:rPr>
        <w:t>.</w:t>
      </w:r>
    </w:p>
    <w:p w14:paraId="4E6E318B" w14:textId="5BD0ED25" w:rsidR="00375F5E" w:rsidRPr="00EB4FA2" w:rsidRDefault="0B53AF01" w:rsidP="5BCFEF27">
      <w:pPr>
        <w:spacing w:line="276" w:lineRule="auto"/>
        <w:ind w:left="567"/>
        <w:jc w:val="both"/>
        <w:rPr>
          <w:rFonts w:ascii="Arial" w:eastAsia="Arial" w:hAnsi="Arial" w:cs="Arial"/>
        </w:rPr>
      </w:pPr>
      <w:r w:rsidRPr="00EB4FA2">
        <w:rPr>
          <w:rFonts w:ascii="Arial" w:eastAsia="Arial" w:hAnsi="Arial" w:cs="Arial"/>
        </w:rPr>
        <w:t xml:space="preserve"> </w:t>
      </w:r>
    </w:p>
    <w:p w14:paraId="1EE186F1" w14:textId="293DA6AC" w:rsidR="00375F5E" w:rsidRPr="003F111D" w:rsidRDefault="0B53AF01" w:rsidP="003F111D">
      <w:pPr>
        <w:pStyle w:val="BodyText"/>
        <w:spacing w:line="271" w:lineRule="auto"/>
        <w:ind w:left="492" w:right="153"/>
        <w:jc w:val="both"/>
        <w:rPr>
          <w:rFonts w:ascii="Arial" w:hAnsi="Arial" w:cs="Arial"/>
          <w:i/>
          <w:sz w:val="22"/>
          <w:szCs w:val="22"/>
          <w:lang w:val="en-ZA"/>
        </w:rPr>
      </w:pPr>
      <w:r w:rsidRPr="003F111D">
        <w:rPr>
          <w:rFonts w:ascii="Arial" w:hAnsi="Arial" w:cs="Arial"/>
          <w:i/>
          <w:sz w:val="22"/>
          <w:szCs w:val="22"/>
          <w:lang w:val="en-ZA"/>
        </w:rPr>
        <w:t xml:space="preserve">Comment: </w:t>
      </w:r>
      <w:r w:rsidR="00FA68D3" w:rsidRPr="00FA68D3">
        <w:rPr>
          <w:rFonts w:ascii="Arial" w:hAnsi="Arial" w:cs="Arial"/>
          <w:iCs/>
          <w:sz w:val="22"/>
          <w:szCs w:val="22"/>
          <w:lang w:val="en-ZA"/>
        </w:rPr>
        <w:t>Data indicates that the average retail price of beer increased by only 4.3% in 2023, compared to increases of 6.2% for still wine, 4.5% for fortified wine, 4.4% for sparkling wine, 5.1% for spirits and 6.6% for RTDs. This raises the question of whether manufacturers are passing on the excise duties (a consumer tax) or instead absorbing the costs. Only wine and RTDs are passing on the excise duties, which will be reflected in the retail selling price (RSP)</w:t>
      </w:r>
      <w:r w:rsidRPr="003F111D">
        <w:rPr>
          <w:rFonts w:ascii="Arial" w:hAnsi="Arial" w:cs="Arial"/>
          <w:iCs/>
          <w:sz w:val="22"/>
          <w:szCs w:val="22"/>
          <w:lang w:val="en-ZA"/>
        </w:rPr>
        <w:t>.</w:t>
      </w:r>
    </w:p>
    <w:p w14:paraId="58B65BEE" w14:textId="16BCEDCC" w:rsidR="00375F5E" w:rsidRPr="00EB4FA2" w:rsidRDefault="0B53AF01" w:rsidP="5BCFEF27">
      <w:pPr>
        <w:spacing w:line="276" w:lineRule="auto"/>
        <w:ind w:left="720"/>
        <w:jc w:val="both"/>
        <w:rPr>
          <w:rFonts w:ascii="Arial" w:eastAsia="Arial" w:hAnsi="Arial" w:cs="Arial"/>
          <w:i/>
          <w:iCs/>
        </w:rPr>
      </w:pPr>
      <w:r w:rsidRPr="00EB4FA2">
        <w:rPr>
          <w:rFonts w:ascii="Arial" w:eastAsia="Arial" w:hAnsi="Arial" w:cs="Arial"/>
          <w:i/>
          <w:iCs/>
        </w:rPr>
        <w:t xml:space="preserve"> </w:t>
      </w:r>
    </w:p>
    <w:p w14:paraId="635E828B" w14:textId="7A0F452D" w:rsidR="00375F5E" w:rsidRPr="003F111D" w:rsidRDefault="0B53AF01" w:rsidP="003F111D">
      <w:pPr>
        <w:pStyle w:val="BodyText"/>
        <w:spacing w:line="271" w:lineRule="auto"/>
        <w:ind w:left="831" w:right="152"/>
        <w:jc w:val="both"/>
        <w:rPr>
          <w:rFonts w:ascii="Arial" w:hAnsi="Arial" w:cs="Arial"/>
          <w:i/>
        </w:rPr>
      </w:pPr>
      <w:r w:rsidRPr="003F111D">
        <w:rPr>
          <w:rFonts w:ascii="Arial" w:hAnsi="Arial" w:cs="Arial"/>
          <w:i/>
          <w:sz w:val="22"/>
          <w:szCs w:val="22"/>
          <w:lang w:val="en-ZA"/>
        </w:rPr>
        <w:t xml:space="preserve">Response: </w:t>
      </w:r>
      <w:r w:rsidRPr="003F111D">
        <w:rPr>
          <w:rFonts w:ascii="Arial" w:hAnsi="Arial" w:cs="Arial"/>
          <w:iCs/>
          <w:sz w:val="22"/>
          <w:szCs w:val="22"/>
          <w:u w:val="single"/>
          <w:lang w:val="en-ZA"/>
        </w:rPr>
        <w:t>Noted</w:t>
      </w:r>
      <w:r w:rsidRPr="003F111D">
        <w:rPr>
          <w:rFonts w:ascii="Arial" w:hAnsi="Arial" w:cs="Arial"/>
          <w:iCs/>
          <w:sz w:val="22"/>
          <w:szCs w:val="22"/>
          <w:lang w:val="en-ZA"/>
        </w:rPr>
        <w:t xml:space="preserve">. </w:t>
      </w:r>
      <w:r w:rsidR="006D502C" w:rsidRPr="006D502C">
        <w:rPr>
          <w:rFonts w:ascii="Arial" w:hAnsi="Arial" w:cs="Arial"/>
          <w:iCs/>
          <w:sz w:val="22"/>
          <w:szCs w:val="22"/>
          <w:lang w:val="en-ZA"/>
        </w:rPr>
        <w:t>This reflects the assertion that government has been making over the years that the adherence to the policy guidelines is not only dependent on Governments annual excise rate increases but also on the behaviour of the industry regarding the excise duty pass-through and pricing of alcoholic products. If the price increases are lower than excise rate increases, it is inevitable that the incidence will be exceeded</w:t>
      </w:r>
      <w:r w:rsidRPr="003F111D">
        <w:rPr>
          <w:rFonts w:ascii="Arial" w:hAnsi="Arial" w:cs="Arial"/>
          <w:iCs/>
          <w:sz w:val="22"/>
          <w:szCs w:val="22"/>
          <w:lang w:val="en-ZA"/>
        </w:rPr>
        <w:t>.</w:t>
      </w:r>
    </w:p>
    <w:p w14:paraId="250DDA81" w14:textId="6FF1A264" w:rsidR="00375F5E" w:rsidRPr="00EB4FA2" w:rsidRDefault="0B53AF01" w:rsidP="5BCFEF27">
      <w:pPr>
        <w:spacing w:line="276" w:lineRule="auto"/>
        <w:ind w:left="1077"/>
        <w:jc w:val="both"/>
        <w:rPr>
          <w:rFonts w:ascii="Arial" w:eastAsia="Arial" w:hAnsi="Arial" w:cs="Arial"/>
        </w:rPr>
      </w:pPr>
      <w:r w:rsidRPr="00EB4FA2">
        <w:rPr>
          <w:rFonts w:ascii="Arial" w:eastAsia="Arial" w:hAnsi="Arial" w:cs="Arial"/>
        </w:rPr>
        <w:t xml:space="preserve"> </w:t>
      </w:r>
    </w:p>
    <w:p w14:paraId="664178A7" w14:textId="5C8EBAA9" w:rsidR="00375F5E" w:rsidRPr="003F111D" w:rsidRDefault="0B53AF01" w:rsidP="003F111D">
      <w:pPr>
        <w:pStyle w:val="BodyText"/>
        <w:spacing w:line="271" w:lineRule="auto"/>
        <w:ind w:left="492" w:right="153"/>
        <w:jc w:val="both"/>
        <w:rPr>
          <w:rFonts w:ascii="Arial" w:hAnsi="Arial" w:cs="Arial"/>
          <w:i/>
          <w:sz w:val="22"/>
          <w:szCs w:val="22"/>
          <w:lang w:val="en-ZA"/>
        </w:rPr>
      </w:pPr>
      <w:r w:rsidRPr="003F111D">
        <w:rPr>
          <w:rFonts w:ascii="Arial" w:hAnsi="Arial" w:cs="Arial"/>
          <w:i/>
          <w:sz w:val="22"/>
          <w:szCs w:val="22"/>
          <w:lang w:val="en-ZA"/>
        </w:rPr>
        <w:t xml:space="preserve">Comment: </w:t>
      </w:r>
      <w:r w:rsidR="00C10765" w:rsidRPr="00C10765">
        <w:rPr>
          <w:rFonts w:ascii="Arial" w:hAnsi="Arial" w:cs="Arial"/>
          <w:iCs/>
          <w:sz w:val="22"/>
          <w:szCs w:val="22"/>
          <w:lang w:val="en-ZA"/>
        </w:rPr>
        <w:t>Since 2019, excise decisions have been unpredictable, creating increased complexity and uncertainty for legal and compliant businesses operating in an already unpredictable and tumultuous business environment</w:t>
      </w:r>
      <w:r w:rsidRPr="003F111D">
        <w:rPr>
          <w:rFonts w:ascii="Arial" w:hAnsi="Arial" w:cs="Arial"/>
          <w:iCs/>
          <w:sz w:val="22"/>
          <w:szCs w:val="22"/>
          <w:lang w:val="en-ZA"/>
        </w:rPr>
        <w:t>.</w:t>
      </w:r>
      <w:r w:rsidRPr="003F111D">
        <w:rPr>
          <w:rFonts w:ascii="Arial" w:hAnsi="Arial" w:cs="Arial"/>
          <w:i/>
          <w:sz w:val="22"/>
          <w:szCs w:val="22"/>
          <w:lang w:val="en-ZA"/>
        </w:rPr>
        <w:t xml:space="preserve"> </w:t>
      </w:r>
    </w:p>
    <w:p w14:paraId="0977BF8A" w14:textId="35F0E297" w:rsidR="00375F5E" w:rsidRPr="003F111D" w:rsidRDefault="0B53AF01" w:rsidP="00697CA5">
      <w:pPr>
        <w:spacing w:line="276" w:lineRule="auto"/>
        <w:ind w:left="567"/>
        <w:jc w:val="both"/>
        <w:rPr>
          <w:rFonts w:ascii="Arial"/>
          <w:sz w:val="21"/>
          <w:szCs w:val="21"/>
        </w:rPr>
      </w:pPr>
      <w:r w:rsidRPr="003F111D">
        <w:rPr>
          <w:rFonts w:ascii="Arial"/>
          <w:sz w:val="21"/>
          <w:szCs w:val="21"/>
        </w:rPr>
        <w:t xml:space="preserve"> </w:t>
      </w:r>
    </w:p>
    <w:p w14:paraId="195466E7" w14:textId="15FE1BE2" w:rsidR="00375F5E" w:rsidRPr="003F111D" w:rsidRDefault="0006490B" w:rsidP="00697CA5">
      <w:pPr>
        <w:spacing w:line="276" w:lineRule="auto"/>
        <w:ind w:left="567"/>
        <w:jc w:val="both"/>
        <w:rPr>
          <w:rFonts w:ascii="Arial" w:hAnsi="Arial" w:cs="Arial"/>
          <w:iCs/>
        </w:rPr>
      </w:pPr>
      <w:r w:rsidRPr="0006490B">
        <w:rPr>
          <w:rFonts w:ascii="Arial" w:hAnsi="Arial" w:cs="Arial"/>
          <w:iCs/>
          <w:lang w:val="en-US"/>
        </w:rPr>
        <w:t>The general lack of certainty and volatility presented by the application of the annual adjustment on excise has made us a reactive business. Strategic decisions on infrastructure expansion and other maintenance decisions are highly dependent on the revenue projections. With large uncertainties related to the excise adjustment it is difficult to forecast with accuracy what these projections would be and ascertain clear opportunities for investments. We would like to recommend that the precedent and the upholding of the tax principle of certainty set by giving a three-year outlook of the adjustment versus the current approach where it is amended in a volatile manner on a year-on-year basis</w:t>
      </w:r>
      <w:r w:rsidR="0B53AF01" w:rsidRPr="003F111D">
        <w:rPr>
          <w:rFonts w:ascii="Arial" w:hAnsi="Arial" w:cs="Arial"/>
          <w:iCs/>
        </w:rPr>
        <w:t>.</w:t>
      </w:r>
    </w:p>
    <w:p w14:paraId="204AB5E1" w14:textId="3BE8F9B5" w:rsidR="00375F5E" w:rsidRPr="00EB4FA2" w:rsidRDefault="0B53AF01" w:rsidP="5BCFEF27">
      <w:pPr>
        <w:spacing w:line="276" w:lineRule="auto"/>
        <w:ind w:left="720"/>
        <w:jc w:val="both"/>
        <w:rPr>
          <w:rFonts w:ascii="Arial" w:eastAsia="Arial" w:hAnsi="Arial" w:cs="Arial"/>
        </w:rPr>
      </w:pPr>
      <w:r w:rsidRPr="00EB4FA2">
        <w:rPr>
          <w:rFonts w:ascii="Arial" w:eastAsia="Arial" w:hAnsi="Arial" w:cs="Arial"/>
        </w:rPr>
        <w:t xml:space="preserve"> </w:t>
      </w:r>
    </w:p>
    <w:p w14:paraId="0272142A" w14:textId="5CFB4EC8" w:rsidR="00375F5E" w:rsidRPr="003F111D" w:rsidRDefault="0B53AF01" w:rsidP="0FE5895A">
      <w:pPr>
        <w:pStyle w:val="BodyText"/>
        <w:spacing w:line="271" w:lineRule="auto"/>
        <w:ind w:left="831" w:right="152"/>
        <w:jc w:val="both"/>
        <w:rPr>
          <w:rFonts w:ascii="Arial" w:hAnsi="Arial" w:cs="Arial"/>
          <w:i/>
          <w:iCs/>
          <w:sz w:val="22"/>
          <w:szCs w:val="22"/>
        </w:rPr>
      </w:pPr>
      <w:r w:rsidRPr="0FE5895A">
        <w:rPr>
          <w:rFonts w:ascii="Arial" w:hAnsi="Arial" w:cs="Arial"/>
          <w:i/>
          <w:iCs/>
          <w:sz w:val="22"/>
          <w:szCs w:val="22"/>
        </w:rPr>
        <w:t xml:space="preserve">Response: </w:t>
      </w:r>
      <w:r w:rsidR="00BD1F41" w:rsidRPr="0FE5895A">
        <w:rPr>
          <w:rFonts w:ascii="Arial" w:hAnsi="Arial" w:cs="Arial"/>
          <w:sz w:val="22"/>
          <w:szCs w:val="22"/>
        </w:rPr>
        <w:t>Noted. As is the custom, excise adjustments are not discussed with taxpayers before budget. However, government is considering a proposal as put forward by stakeholders to perhaps set excise adjustments for a three-year circle to provide some level of certainty. This proposal is under consideration and a final decision will be communicated to all stakeholder</w:t>
      </w:r>
      <w:r w:rsidRPr="0FE5895A">
        <w:rPr>
          <w:rFonts w:ascii="Arial" w:hAnsi="Arial" w:cs="Arial"/>
          <w:sz w:val="22"/>
          <w:szCs w:val="22"/>
        </w:rPr>
        <w:t>s.</w:t>
      </w:r>
      <w:r w:rsidRPr="0FE5895A">
        <w:rPr>
          <w:rFonts w:ascii="Arial" w:hAnsi="Arial" w:cs="Arial"/>
          <w:i/>
          <w:iCs/>
          <w:sz w:val="22"/>
          <w:szCs w:val="22"/>
        </w:rPr>
        <w:t xml:space="preserve">     </w:t>
      </w:r>
    </w:p>
    <w:p w14:paraId="6E11BD6F" w14:textId="38BE9C6A" w:rsidR="00375F5E" w:rsidRPr="00EB4FA2" w:rsidRDefault="0B53AF01" w:rsidP="5BCFEF27">
      <w:pPr>
        <w:spacing w:line="276" w:lineRule="auto"/>
        <w:ind w:left="709"/>
        <w:jc w:val="both"/>
        <w:rPr>
          <w:rFonts w:ascii="Arial" w:eastAsia="Arial" w:hAnsi="Arial" w:cs="Arial"/>
        </w:rPr>
      </w:pPr>
      <w:r w:rsidRPr="00EB4FA2">
        <w:rPr>
          <w:rFonts w:ascii="Arial" w:eastAsia="Arial" w:hAnsi="Arial" w:cs="Arial"/>
        </w:rPr>
        <w:t xml:space="preserve"> </w:t>
      </w:r>
    </w:p>
    <w:p w14:paraId="4CDA4C5C" w14:textId="77777777" w:rsidR="00E8557A" w:rsidRPr="00E8557A" w:rsidRDefault="0B53AF01" w:rsidP="00E8557A">
      <w:pPr>
        <w:pStyle w:val="BodyText"/>
        <w:spacing w:line="271" w:lineRule="auto"/>
        <w:ind w:left="492" w:right="153"/>
        <w:rPr>
          <w:rFonts w:ascii="Arial" w:hAnsi="Arial" w:cs="Arial"/>
          <w:iCs/>
        </w:rPr>
      </w:pPr>
      <w:r w:rsidRPr="003F111D">
        <w:rPr>
          <w:rFonts w:ascii="Arial" w:hAnsi="Arial" w:cs="Arial"/>
          <w:i/>
          <w:sz w:val="22"/>
          <w:szCs w:val="22"/>
          <w:lang w:val="en-ZA"/>
        </w:rPr>
        <w:t>Comment</w:t>
      </w:r>
      <w:r w:rsidRPr="003F111D">
        <w:rPr>
          <w:rFonts w:ascii="Arial" w:hAnsi="Arial" w:cs="Arial"/>
          <w:i/>
        </w:rPr>
        <w:t xml:space="preserve">: </w:t>
      </w:r>
      <w:r w:rsidR="00E8557A" w:rsidRPr="00E8557A">
        <w:rPr>
          <w:rFonts w:ascii="Arial" w:hAnsi="Arial" w:cs="Arial"/>
          <w:iCs/>
        </w:rPr>
        <w:t>The above inflation increase in excise taxes on beer is over-burdening the excise tax instrument with sustaining the health of the fiscus. The draft Rates Bill in its current form has shown that the government has put on the table taking more than the annually stipulated share of excise taxes from the beer industry, which should only be in line with projected inflation. This is on the back of the continued tax exemption of the fuel levy, resulting in R4 billion in tax foregone and the postponement of the health</w:t>
      </w:r>
    </w:p>
    <w:p w14:paraId="7C391078" w14:textId="6DB03298" w:rsidR="00375F5E" w:rsidRPr="003F111D" w:rsidRDefault="00E8557A" w:rsidP="0FE5895A">
      <w:pPr>
        <w:pStyle w:val="BodyText"/>
        <w:spacing w:line="271" w:lineRule="auto"/>
        <w:ind w:left="492" w:right="153"/>
        <w:jc w:val="both"/>
        <w:rPr>
          <w:rFonts w:ascii="Arial" w:hAnsi="Arial" w:cs="Arial"/>
          <w:sz w:val="22"/>
          <w:szCs w:val="22"/>
        </w:rPr>
      </w:pPr>
      <w:r w:rsidRPr="0FE5895A">
        <w:rPr>
          <w:rFonts w:ascii="Arial" w:hAnsi="Arial" w:cs="Arial"/>
          <w:sz w:val="22"/>
          <w:szCs w:val="22"/>
        </w:rPr>
        <w:t>promotion levy due to overall industry support to the sugar industry. This is to say that if indeed Budget 2024 is ‘Balancing development and Fiscal sustainability’ as chapter 1 of the Budget Review is so aptly titled, then the use of all tax instruments should be applied bearing this in mind, including excise taxes and the industries that must pay it</w:t>
      </w:r>
      <w:r w:rsidR="0B53AF01" w:rsidRPr="0FE5895A">
        <w:rPr>
          <w:rFonts w:ascii="Arial" w:hAnsi="Arial" w:cs="Arial"/>
          <w:sz w:val="22"/>
          <w:szCs w:val="22"/>
        </w:rPr>
        <w:t xml:space="preserve">.  </w:t>
      </w:r>
    </w:p>
    <w:p w14:paraId="2465CDB4" w14:textId="445DC87A" w:rsidR="00375F5E" w:rsidRPr="00EB4FA2" w:rsidRDefault="0B53AF01" w:rsidP="5BCFEF27">
      <w:pPr>
        <w:spacing w:line="276" w:lineRule="auto"/>
        <w:ind w:left="1077"/>
        <w:jc w:val="both"/>
        <w:rPr>
          <w:rFonts w:ascii="Arial" w:eastAsia="Arial" w:hAnsi="Arial" w:cs="Arial"/>
          <w:b/>
          <w:bCs/>
          <w:i/>
          <w:iCs/>
        </w:rPr>
      </w:pPr>
      <w:r w:rsidRPr="00EB4FA2">
        <w:rPr>
          <w:rFonts w:ascii="Arial" w:eastAsia="Arial" w:hAnsi="Arial" w:cs="Arial"/>
          <w:b/>
          <w:bCs/>
          <w:i/>
          <w:iCs/>
        </w:rPr>
        <w:t xml:space="preserve"> </w:t>
      </w:r>
    </w:p>
    <w:p w14:paraId="27481DDA" w14:textId="1CA3D498" w:rsidR="00375F5E" w:rsidRPr="003F111D" w:rsidRDefault="0B53AF01" w:rsidP="003F111D">
      <w:pPr>
        <w:pStyle w:val="BodyText"/>
        <w:spacing w:line="271" w:lineRule="auto"/>
        <w:ind w:left="831" w:right="152"/>
        <w:jc w:val="both"/>
        <w:rPr>
          <w:rFonts w:ascii="Arial" w:hAnsi="Arial" w:cs="Arial"/>
          <w:i/>
        </w:rPr>
      </w:pPr>
      <w:r w:rsidRPr="003F111D">
        <w:rPr>
          <w:rFonts w:ascii="Arial" w:hAnsi="Arial" w:cs="Arial"/>
          <w:i/>
          <w:sz w:val="22"/>
          <w:szCs w:val="22"/>
          <w:lang w:val="en-ZA"/>
        </w:rPr>
        <w:t xml:space="preserve">Response: </w:t>
      </w:r>
      <w:r w:rsidRPr="003F111D">
        <w:rPr>
          <w:rFonts w:ascii="Arial" w:hAnsi="Arial" w:cs="Arial"/>
          <w:iCs/>
          <w:sz w:val="22"/>
          <w:szCs w:val="22"/>
          <w:u w:val="single"/>
          <w:lang w:val="en-ZA"/>
        </w:rPr>
        <w:t>Noted</w:t>
      </w:r>
      <w:r w:rsidRPr="003F111D">
        <w:rPr>
          <w:rFonts w:ascii="Arial" w:hAnsi="Arial" w:cs="Arial"/>
          <w:iCs/>
          <w:sz w:val="22"/>
          <w:szCs w:val="22"/>
          <w:lang w:val="en-ZA"/>
        </w:rPr>
        <w:t xml:space="preserve">. </w:t>
      </w:r>
      <w:r w:rsidR="006F2C14" w:rsidRPr="006F2C14">
        <w:rPr>
          <w:rFonts w:ascii="Arial" w:hAnsi="Arial" w:cs="Arial"/>
          <w:iCs/>
          <w:sz w:val="22"/>
          <w:szCs w:val="22"/>
          <w:lang w:val="en-ZA"/>
        </w:rPr>
        <w:t>Tax policy decisions entail balancing difficult trade-offs to raise revenue (and address externalities) in an equitable, efficient, and sustainable manner to support government’s development objectives. Responding to these demands requires appreciation of the long-term tax policy context, the role of tax policy in the overall fiscal strategy and a consideration of its limitations</w:t>
      </w:r>
      <w:r w:rsidRPr="003F111D">
        <w:rPr>
          <w:rFonts w:ascii="Arial" w:hAnsi="Arial" w:cs="Arial"/>
          <w:i/>
          <w:sz w:val="22"/>
          <w:szCs w:val="22"/>
          <w:lang w:val="en-ZA"/>
        </w:rPr>
        <w:t xml:space="preserve">.      </w:t>
      </w:r>
    </w:p>
    <w:p w14:paraId="0D2F1AB0" w14:textId="6CD0B99A" w:rsidR="00375F5E" w:rsidRPr="00EB4FA2" w:rsidRDefault="0B53AF01" w:rsidP="5BCFEF27">
      <w:pPr>
        <w:spacing w:line="276" w:lineRule="auto"/>
        <w:ind w:left="568"/>
        <w:jc w:val="both"/>
        <w:rPr>
          <w:rFonts w:ascii="Arial" w:eastAsia="Arial" w:hAnsi="Arial" w:cs="Arial"/>
        </w:rPr>
      </w:pPr>
      <w:r w:rsidRPr="00EB4FA2">
        <w:rPr>
          <w:rFonts w:ascii="Arial" w:eastAsia="Arial" w:hAnsi="Arial" w:cs="Arial"/>
        </w:rPr>
        <w:t xml:space="preserve"> </w:t>
      </w:r>
    </w:p>
    <w:p w14:paraId="766DC9C1" w14:textId="6BAFD2D5" w:rsidR="00375F5E" w:rsidRPr="003F111D" w:rsidRDefault="0B53AF01" w:rsidP="003F111D">
      <w:pPr>
        <w:pStyle w:val="BodyText"/>
        <w:spacing w:line="271" w:lineRule="auto"/>
        <w:ind w:left="492" w:right="153"/>
        <w:jc w:val="both"/>
        <w:rPr>
          <w:rFonts w:ascii="Arial" w:hAnsi="Arial" w:cs="Arial"/>
          <w:i/>
        </w:rPr>
      </w:pPr>
      <w:r w:rsidRPr="003F111D">
        <w:rPr>
          <w:rFonts w:ascii="Arial" w:hAnsi="Arial" w:cs="Arial"/>
          <w:i/>
          <w:sz w:val="22"/>
          <w:szCs w:val="22"/>
          <w:lang w:val="en-ZA"/>
        </w:rPr>
        <w:t xml:space="preserve">Comments: </w:t>
      </w:r>
      <w:r w:rsidR="004F770B" w:rsidRPr="004F770B">
        <w:rPr>
          <w:rFonts w:ascii="Arial" w:hAnsi="Arial" w:cs="Arial"/>
          <w:iCs/>
          <w:sz w:val="22"/>
          <w:szCs w:val="22"/>
          <w:lang w:val="en-ZA"/>
        </w:rPr>
        <w:t>Along with other alcohol control measures, countries raise alcohol taxes sufficiently to reduce alcohol-related harm. The type and structure of the tax should be adapted to each country’s specific needs and institutional setting</w:t>
      </w:r>
      <w:r w:rsidRPr="003F111D">
        <w:rPr>
          <w:rFonts w:ascii="Arial" w:hAnsi="Arial" w:cs="Arial"/>
          <w:iCs/>
          <w:sz w:val="22"/>
          <w:szCs w:val="22"/>
          <w:lang w:val="en-ZA"/>
        </w:rPr>
        <w:t>.</w:t>
      </w:r>
    </w:p>
    <w:p w14:paraId="2C38FB07" w14:textId="34F21240" w:rsidR="00375F5E" w:rsidRPr="00EB4FA2" w:rsidRDefault="0B53AF01" w:rsidP="5BCFEF27">
      <w:pPr>
        <w:spacing w:line="276" w:lineRule="auto"/>
        <w:ind w:left="630"/>
        <w:jc w:val="both"/>
        <w:rPr>
          <w:rFonts w:ascii="Arial" w:eastAsia="Arial" w:hAnsi="Arial" w:cs="Arial"/>
        </w:rPr>
      </w:pPr>
      <w:r w:rsidRPr="00EB4FA2">
        <w:rPr>
          <w:rFonts w:ascii="Arial" w:eastAsia="Arial" w:hAnsi="Arial" w:cs="Arial"/>
        </w:rPr>
        <w:t xml:space="preserve"> </w:t>
      </w:r>
    </w:p>
    <w:p w14:paraId="3F812E1F" w14:textId="32B2600A" w:rsidR="00375F5E" w:rsidRPr="003F111D" w:rsidRDefault="0B53AF01" w:rsidP="003F111D">
      <w:pPr>
        <w:pStyle w:val="BodyText"/>
        <w:spacing w:line="271" w:lineRule="auto"/>
        <w:ind w:left="831" w:right="152"/>
        <w:jc w:val="both"/>
        <w:rPr>
          <w:rFonts w:ascii="Arial" w:hAnsi="Arial" w:cs="Arial"/>
          <w:i/>
        </w:rPr>
      </w:pPr>
      <w:r w:rsidRPr="003F111D">
        <w:rPr>
          <w:rFonts w:ascii="Arial" w:hAnsi="Arial" w:cs="Arial"/>
          <w:i/>
          <w:sz w:val="22"/>
          <w:szCs w:val="22"/>
          <w:lang w:val="en-ZA"/>
        </w:rPr>
        <w:t>Response:</w:t>
      </w:r>
      <w:r w:rsidRPr="003F111D">
        <w:rPr>
          <w:rFonts w:ascii="Arial" w:hAnsi="Arial" w:cs="Arial"/>
          <w:iCs/>
          <w:sz w:val="22"/>
          <w:szCs w:val="22"/>
          <w:lang w:val="en-ZA"/>
        </w:rPr>
        <w:t xml:space="preserve"> </w:t>
      </w:r>
      <w:r w:rsidRPr="003F111D">
        <w:rPr>
          <w:rFonts w:ascii="Arial" w:hAnsi="Arial" w:cs="Arial"/>
          <w:iCs/>
          <w:sz w:val="22"/>
          <w:szCs w:val="22"/>
          <w:u w:val="single"/>
          <w:lang w:val="en-ZA"/>
        </w:rPr>
        <w:t>Noted</w:t>
      </w:r>
      <w:r w:rsidRPr="003F111D">
        <w:rPr>
          <w:rFonts w:ascii="Arial" w:hAnsi="Arial" w:cs="Arial"/>
          <w:i/>
          <w:sz w:val="22"/>
          <w:szCs w:val="22"/>
          <w:lang w:val="en-ZA"/>
        </w:rPr>
        <w:t>.</w:t>
      </w:r>
      <w:r w:rsidR="00E429E2">
        <w:rPr>
          <w:rFonts w:ascii="Arial" w:hAnsi="Arial" w:cs="Arial"/>
          <w:i/>
          <w:sz w:val="22"/>
          <w:szCs w:val="22"/>
          <w:lang w:val="en-ZA"/>
        </w:rPr>
        <w:t xml:space="preserve"> </w:t>
      </w:r>
      <w:r w:rsidR="00E429E2" w:rsidRPr="00E429E2">
        <w:rPr>
          <w:rFonts w:ascii="Arial" w:hAnsi="Arial" w:cs="Arial"/>
          <w:iCs/>
          <w:sz w:val="22"/>
          <w:szCs w:val="22"/>
          <w:lang w:val="en-ZA"/>
        </w:rPr>
        <w:t>The current alcohol policy framework takes into consideration experiences of other jurisdictions in dealing with alcohol related policy but also customise these experiences to local conditions.</w:t>
      </w:r>
    </w:p>
    <w:p w14:paraId="02B343CD" w14:textId="3BA355DB" w:rsidR="00375F5E" w:rsidRPr="00EB4FA2" w:rsidRDefault="0B53AF01" w:rsidP="5BCFEF27">
      <w:pPr>
        <w:spacing w:line="276" w:lineRule="auto"/>
        <w:ind w:left="1077"/>
        <w:jc w:val="both"/>
        <w:rPr>
          <w:rFonts w:ascii="Arial" w:eastAsia="Arial" w:hAnsi="Arial" w:cs="Arial"/>
        </w:rPr>
      </w:pPr>
      <w:r w:rsidRPr="00EB4FA2">
        <w:rPr>
          <w:rFonts w:ascii="Arial" w:eastAsia="Arial" w:hAnsi="Arial" w:cs="Arial"/>
        </w:rPr>
        <w:t xml:space="preserve"> </w:t>
      </w:r>
    </w:p>
    <w:p w14:paraId="7B669112" w14:textId="79CA4BA8" w:rsidR="00375F5E" w:rsidRPr="003F111D" w:rsidRDefault="0B53AF01" w:rsidP="003F111D">
      <w:pPr>
        <w:pStyle w:val="BodyText"/>
        <w:spacing w:line="271" w:lineRule="auto"/>
        <w:ind w:left="492" w:right="153"/>
        <w:jc w:val="both"/>
        <w:rPr>
          <w:rFonts w:ascii="Arial" w:hAnsi="Arial" w:cs="Arial"/>
          <w:i/>
        </w:rPr>
      </w:pPr>
      <w:r w:rsidRPr="003F111D">
        <w:rPr>
          <w:rFonts w:ascii="Arial" w:hAnsi="Arial" w:cs="Arial"/>
          <w:i/>
          <w:sz w:val="22"/>
          <w:szCs w:val="22"/>
          <w:lang w:val="en-ZA"/>
        </w:rPr>
        <w:t>Comments:</w:t>
      </w:r>
      <w:r w:rsidR="00D33DC4" w:rsidRPr="00EB4FA2">
        <w:rPr>
          <w:rFonts w:ascii="Arial" w:hAnsi="Arial" w:cs="Arial"/>
          <w:i/>
          <w:sz w:val="22"/>
          <w:szCs w:val="22"/>
          <w:lang w:val="en-ZA"/>
        </w:rPr>
        <w:t xml:space="preserve"> </w:t>
      </w:r>
      <w:r w:rsidR="00EB734B" w:rsidRPr="00EB734B">
        <w:rPr>
          <w:rFonts w:ascii="Arial" w:hAnsi="Arial" w:cs="Arial"/>
          <w:iCs/>
          <w:sz w:val="22"/>
          <w:szCs w:val="22"/>
          <w:lang w:val="en-ZA"/>
        </w:rPr>
        <w:t>To effectively curb the affordability of these products while simultaneously increasing revenues, it is recommended that tax rates for all alcoholic beverages be substantially raised above inflation. The proposed modest increase is unlikely to reverse the concerning trend of increasing alcohol consumption in South Africa. More significant tax increases would yield better health and revenue benefits. Therefore, recommend a tax increase of more than 10% for all alcoholic beverages</w:t>
      </w:r>
      <w:r w:rsidRPr="003F111D">
        <w:rPr>
          <w:rFonts w:ascii="Arial" w:hAnsi="Arial" w:cs="Arial"/>
          <w:iCs/>
          <w:sz w:val="22"/>
          <w:szCs w:val="22"/>
          <w:lang w:val="en-ZA"/>
        </w:rPr>
        <w:t>.</w:t>
      </w:r>
    </w:p>
    <w:p w14:paraId="1C3E388E" w14:textId="7C79245C" w:rsidR="00375F5E" w:rsidRPr="00EB4FA2" w:rsidRDefault="0B53AF01" w:rsidP="5BCFEF27">
      <w:pPr>
        <w:spacing w:line="276" w:lineRule="auto"/>
        <w:ind w:left="630"/>
        <w:jc w:val="both"/>
        <w:rPr>
          <w:rFonts w:ascii="Arial" w:eastAsia="Arial" w:hAnsi="Arial" w:cs="Arial"/>
        </w:rPr>
      </w:pPr>
      <w:r w:rsidRPr="00EB4FA2">
        <w:rPr>
          <w:rFonts w:ascii="Arial" w:eastAsia="Arial" w:hAnsi="Arial" w:cs="Arial"/>
        </w:rPr>
        <w:t xml:space="preserve"> </w:t>
      </w:r>
    </w:p>
    <w:p w14:paraId="014D1C10" w14:textId="2E6E8692" w:rsidR="00375F5E" w:rsidRPr="003F111D" w:rsidRDefault="0B53AF01" w:rsidP="003F111D">
      <w:pPr>
        <w:pStyle w:val="BodyText"/>
        <w:spacing w:line="271" w:lineRule="auto"/>
        <w:ind w:left="831" w:right="152"/>
        <w:jc w:val="both"/>
        <w:rPr>
          <w:rFonts w:ascii="Arial" w:hAnsi="Arial" w:cs="Arial"/>
          <w:iCs/>
        </w:rPr>
      </w:pPr>
      <w:r w:rsidRPr="003F111D">
        <w:rPr>
          <w:rFonts w:ascii="Arial" w:hAnsi="Arial" w:cs="Arial"/>
          <w:i/>
          <w:sz w:val="22"/>
          <w:szCs w:val="22"/>
          <w:lang w:val="en-ZA"/>
        </w:rPr>
        <w:t xml:space="preserve">Response: </w:t>
      </w:r>
      <w:r w:rsidRPr="003F111D">
        <w:rPr>
          <w:rFonts w:ascii="Arial" w:hAnsi="Arial" w:cs="Arial"/>
          <w:iCs/>
          <w:sz w:val="22"/>
          <w:szCs w:val="22"/>
          <w:u w:val="single"/>
          <w:lang w:val="en-ZA"/>
        </w:rPr>
        <w:t>Noted</w:t>
      </w:r>
      <w:r w:rsidRPr="003F111D">
        <w:rPr>
          <w:rFonts w:ascii="Arial" w:hAnsi="Arial" w:cs="Arial"/>
          <w:iCs/>
          <w:sz w:val="22"/>
          <w:szCs w:val="22"/>
          <w:lang w:val="en-ZA"/>
        </w:rPr>
        <w:t xml:space="preserve">. </w:t>
      </w:r>
      <w:r w:rsidR="00191EF9" w:rsidRPr="00191EF9">
        <w:rPr>
          <w:rFonts w:ascii="Arial" w:hAnsi="Arial" w:cs="Arial"/>
          <w:iCs/>
          <w:sz w:val="22"/>
          <w:szCs w:val="22"/>
          <w:lang w:val="en-ZA"/>
        </w:rPr>
        <w:t>The excise increases with at least inflation seeks to ensure that alcohol products do not become affordable over time as this will increase consumption, which goes against government public health policy objective</w:t>
      </w:r>
      <w:r w:rsidRPr="003F111D">
        <w:rPr>
          <w:rFonts w:ascii="Arial" w:hAnsi="Arial" w:cs="Arial"/>
          <w:iCs/>
          <w:sz w:val="22"/>
          <w:szCs w:val="22"/>
          <w:lang w:val="en-ZA"/>
        </w:rPr>
        <w:t>s.</w:t>
      </w:r>
    </w:p>
    <w:p w14:paraId="0ED3D8D1" w14:textId="6CF0E30B" w:rsidR="00375F5E" w:rsidRPr="00EB4FA2" w:rsidRDefault="0B53AF01" w:rsidP="5BCFEF27">
      <w:pPr>
        <w:spacing w:line="276" w:lineRule="auto"/>
        <w:ind w:left="1077"/>
        <w:jc w:val="both"/>
        <w:rPr>
          <w:rFonts w:ascii="Arial" w:eastAsia="Arial" w:hAnsi="Arial" w:cs="Arial"/>
        </w:rPr>
      </w:pPr>
      <w:r w:rsidRPr="00EB4FA2">
        <w:rPr>
          <w:rFonts w:ascii="Arial" w:eastAsia="Arial" w:hAnsi="Arial" w:cs="Arial"/>
        </w:rPr>
        <w:t xml:space="preserve"> </w:t>
      </w:r>
    </w:p>
    <w:p w14:paraId="2AF1666E" w14:textId="58A30D5C" w:rsidR="00375F5E" w:rsidRPr="003A4642" w:rsidRDefault="0B53AF01" w:rsidP="003F111D">
      <w:pPr>
        <w:pStyle w:val="BodyText"/>
        <w:spacing w:line="271" w:lineRule="auto"/>
        <w:ind w:left="492" w:right="153"/>
        <w:jc w:val="both"/>
        <w:rPr>
          <w:rFonts w:ascii="Arial" w:hAnsi="Arial" w:cs="Arial"/>
          <w:iCs/>
          <w:sz w:val="22"/>
          <w:szCs w:val="22"/>
          <w:lang w:val="en-ZA"/>
        </w:rPr>
      </w:pPr>
      <w:r w:rsidRPr="003F111D">
        <w:rPr>
          <w:rFonts w:ascii="Arial" w:hAnsi="Arial" w:cs="Arial"/>
          <w:i/>
          <w:sz w:val="22"/>
          <w:szCs w:val="22"/>
          <w:lang w:val="en-ZA"/>
        </w:rPr>
        <w:t xml:space="preserve">Comment: </w:t>
      </w:r>
      <w:r w:rsidR="008B2489" w:rsidRPr="008B2489">
        <w:rPr>
          <w:rFonts w:ascii="Arial" w:hAnsi="Arial" w:cs="Arial"/>
          <w:iCs/>
          <w:sz w:val="22"/>
          <w:szCs w:val="22"/>
          <w:lang w:val="en-ZA"/>
        </w:rPr>
        <w:t>Beer consumption in South Africa is disproportionately concentrated among lower-income groups, who also bear the most significant alcohol-related health burden. Indeed, in the South African context, the latest industry financial report indicates double-digit revenue growth and record-high sales volumes in the beer market. Therefore, it is crucial for South Africa to promptly address this issue, with excise tax policies playing a key role in reversing this troubling trend of rapidly increasing beer sales</w:t>
      </w:r>
      <w:r w:rsidRPr="003F111D">
        <w:rPr>
          <w:rFonts w:ascii="Arial" w:hAnsi="Arial" w:cs="Arial"/>
          <w:iCs/>
          <w:sz w:val="22"/>
          <w:szCs w:val="22"/>
          <w:lang w:val="en-ZA"/>
        </w:rPr>
        <w:t>.</w:t>
      </w:r>
      <w:r w:rsidR="003A4642" w:rsidRPr="003A4642">
        <w:rPr>
          <w:i/>
          <w:iCs/>
          <w:sz w:val="22"/>
          <w:szCs w:val="22"/>
        </w:rPr>
        <w:t xml:space="preserve"> </w:t>
      </w:r>
      <w:r w:rsidR="003A4642" w:rsidRPr="003A4642">
        <w:rPr>
          <w:rFonts w:ascii="Arial" w:hAnsi="Arial" w:cs="Arial"/>
          <w:iCs/>
          <w:sz w:val="22"/>
          <w:szCs w:val="22"/>
          <w:lang w:val="en-ZA"/>
        </w:rPr>
        <w:t>More significant tax increases would yield better health and revenue benefits. Therefore, recommend a tax increase of more than 10% for all alcoholic beverages</w:t>
      </w:r>
      <w:r w:rsidR="003A4642">
        <w:rPr>
          <w:rFonts w:ascii="Arial" w:hAnsi="Arial" w:cs="Arial"/>
          <w:iCs/>
          <w:sz w:val="22"/>
          <w:szCs w:val="22"/>
          <w:lang w:val="en-ZA"/>
        </w:rPr>
        <w:t>.</w:t>
      </w:r>
    </w:p>
    <w:p w14:paraId="08718BF4" w14:textId="56A33937" w:rsidR="00375F5E" w:rsidRPr="00EB4FA2" w:rsidRDefault="0B53AF01" w:rsidP="5BCFEF27">
      <w:pPr>
        <w:spacing w:line="276" w:lineRule="auto"/>
        <w:ind w:left="720"/>
        <w:jc w:val="both"/>
        <w:rPr>
          <w:rFonts w:ascii="Arial" w:eastAsia="Arial" w:hAnsi="Arial" w:cs="Arial"/>
          <w:i/>
          <w:iCs/>
        </w:rPr>
      </w:pPr>
      <w:r w:rsidRPr="00EB4FA2">
        <w:rPr>
          <w:rFonts w:ascii="Arial" w:eastAsia="Arial" w:hAnsi="Arial" w:cs="Arial"/>
          <w:i/>
          <w:iCs/>
        </w:rPr>
        <w:t xml:space="preserve"> </w:t>
      </w:r>
    </w:p>
    <w:p w14:paraId="79DB52D0" w14:textId="7330E74C" w:rsidR="00375F5E" w:rsidRPr="003F111D" w:rsidRDefault="0B53AF01" w:rsidP="003F111D">
      <w:pPr>
        <w:pStyle w:val="BodyText"/>
        <w:spacing w:line="271" w:lineRule="auto"/>
        <w:ind w:left="831" w:right="152"/>
        <w:jc w:val="both"/>
        <w:rPr>
          <w:rFonts w:ascii="Arial" w:hAnsi="Arial" w:cs="Arial"/>
          <w:i/>
          <w:highlight w:val="yellow"/>
        </w:rPr>
      </w:pPr>
      <w:r w:rsidRPr="003F111D">
        <w:rPr>
          <w:rFonts w:ascii="Arial" w:hAnsi="Arial" w:cs="Arial"/>
          <w:i/>
          <w:sz w:val="22"/>
          <w:szCs w:val="22"/>
          <w:lang w:val="en-ZA"/>
        </w:rPr>
        <w:t xml:space="preserve">Response: </w:t>
      </w:r>
      <w:r w:rsidRPr="003F111D">
        <w:rPr>
          <w:rFonts w:ascii="Arial" w:hAnsi="Arial" w:cs="Arial"/>
          <w:iCs/>
          <w:sz w:val="22"/>
          <w:szCs w:val="22"/>
          <w:u w:val="single"/>
          <w:lang w:val="en-ZA"/>
        </w:rPr>
        <w:t>Noted</w:t>
      </w:r>
      <w:r w:rsidR="00461422" w:rsidRPr="00EB4FA2">
        <w:rPr>
          <w:rFonts w:ascii="Arial" w:hAnsi="Arial" w:cs="Arial"/>
          <w:iCs/>
          <w:sz w:val="22"/>
          <w:szCs w:val="22"/>
          <w:lang w:val="en-ZA"/>
        </w:rPr>
        <w:t>.</w:t>
      </w:r>
      <w:r w:rsidR="000E0DCD">
        <w:rPr>
          <w:rFonts w:ascii="Arial" w:hAnsi="Arial" w:cs="Arial"/>
          <w:iCs/>
          <w:sz w:val="22"/>
          <w:szCs w:val="22"/>
          <w:lang w:val="en-ZA"/>
        </w:rPr>
        <w:t xml:space="preserve"> </w:t>
      </w:r>
      <w:r w:rsidR="000E0DCD" w:rsidRPr="000E0DCD">
        <w:rPr>
          <w:rFonts w:ascii="Arial" w:hAnsi="Arial" w:cs="Arial"/>
          <w:iCs/>
          <w:sz w:val="22"/>
          <w:szCs w:val="22"/>
          <w:lang w:val="en-ZA"/>
        </w:rPr>
        <w:t xml:space="preserve">Beer is the preferred alcoholic beverage and dominates the alcoholic beverage market. It is </w:t>
      </w:r>
      <w:r w:rsidR="000E0DCD" w:rsidRPr="000A603D">
        <w:rPr>
          <w:rFonts w:ascii="Arial" w:hAnsi="Arial" w:cs="Arial"/>
          <w:iCs/>
          <w:sz w:val="22"/>
          <w:szCs w:val="22"/>
          <w:lang w:val="en-ZA"/>
        </w:rPr>
        <w:t>estimated</w:t>
      </w:r>
      <w:r w:rsidR="00252D17" w:rsidRPr="000A603D">
        <w:rPr>
          <w:rStyle w:val="FootnoteReference"/>
          <w:rFonts w:ascii="Arial" w:hAnsi="Arial" w:cs="Arial"/>
          <w:iCs/>
          <w:sz w:val="22"/>
          <w:szCs w:val="22"/>
          <w:lang w:val="en-ZA"/>
        </w:rPr>
        <w:footnoteReference w:id="2"/>
      </w:r>
      <w:r w:rsidR="000E0DCD" w:rsidRPr="000A603D">
        <w:rPr>
          <w:rFonts w:ascii="Arial" w:hAnsi="Arial" w:cs="Arial"/>
          <w:iCs/>
          <w:sz w:val="22"/>
          <w:szCs w:val="22"/>
          <w:lang w:val="en-ZA"/>
        </w:rPr>
        <w:t xml:space="preserve"> to account for approximately 75 per cent of total alcoholic beverage consumption by volume, and about 51.4 per cent</w:t>
      </w:r>
      <w:r w:rsidR="00F10310">
        <w:rPr>
          <w:rStyle w:val="FootnoteReference"/>
          <w:rFonts w:ascii="Arial" w:hAnsi="Arial" w:cs="Arial"/>
          <w:iCs/>
          <w:sz w:val="22"/>
          <w:szCs w:val="22"/>
          <w:lang w:val="en-ZA"/>
        </w:rPr>
        <w:footnoteReference w:id="3"/>
      </w:r>
      <w:r w:rsidR="003B5C3F">
        <w:rPr>
          <w:rFonts w:ascii="Arial" w:hAnsi="Arial" w:cs="Arial"/>
          <w:iCs/>
          <w:sz w:val="22"/>
          <w:szCs w:val="22"/>
          <w:lang w:val="en-ZA"/>
        </w:rPr>
        <w:t xml:space="preserve"> </w:t>
      </w:r>
      <w:r w:rsidR="000E0DCD" w:rsidRPr="000E0DCD">
        <w:rPr>
          <w:rFonts w:ascii="Arial" w:hAnsi="Arial" w:cs="Arial"/>
          <w:iCs/>
          <w:sz w:val="22"/>
          <w:szCs w:val="22"/>
          <w:lang w:val="en-ZA"/>
        </w:rPr>
        <w:t>of the market based on absolute alcohol content. Any policy measure to address alcohol harm should include a focus on beer consumption</w:t>
      </w:r>
      <w:r w:rsidR="000E0DCD">
        <w:rPr>
          <w:rFonts w:ascii="Arial" w:hAnsi="Arial" w:cs="Arial"/>
          <w:iCs/>
          <w:sz w:val="22"/>
          <w:szCs w:val="22"/>
          <w:lang w:val="en-ZA"/>
        </w:rPr>
        <w:t>.</w:t>
      </w:r>
    </w:p>
    <w:p w14:paraId="1157EB9D" w14:textId="052DB77B" w:rsidR="00375F5E" w:rsidRPr="00EB4FA2" w:rsidRDefault="0B53AF01" w:rsidP="5BCFEF27">
      <w:pPr>
        <w:spacing w:line="276" w:lineRule="auto"/>
        <w:ind w:left="1077"/>
        <w:jc w:val="both"/>
        <w:rPr>
          <w:rFonts w:ascii="Arial" w:eastAsia="Arial" w:hAnsi="Arial" w:cs="Arial"/>
        </w:rPr>
      </w:pPr>
      <w:r w:rsidRPr="00EB4FA2">
        <w:rPr>
          <w:rFonts w:ascii="Arial" w:eastAsia="Arial" w:hAnsi="Arial" w:cs="Arial"/>
        </w:rPr>
        <w:t xml:space="preserve"> </w:t>
      </w:r>
    </w:p>
    <w:p w14:paraId="0D9C1D13" w14:textId="13309A68" w:rsidR="00375F5E" w:rsidRPr="00EB4FA2" w:rsidRDefault="0B53AF01" w:rsidP="00461422">
      <w:pPr>
        <w:pStyle w:val="BodyText"/>
        <w:spacing w:line="271" w:lineRule="auto"/>
        <w:ind w:left="492" w:right="153"/>
        <w:jc w:val="both"/>
        <w:rPr>
          <w:rFonts w:ascii="Arial" w:hAnsi="Arial" w:cs="Arial"/>
          <w:iCs/>
          <w:sz w:val="22"/>
          <w:szCs w:val="22"/>
          <w:lang w:val="en-ZA"/>
        </w:rPr>
      </w:pPr>
      <w:r w:rsidRPr="003F111D">
        <w:rPr>
          <w:rFonts w:ascii="Arial" w:hAnsi="Arial" w:cs="Arial"/>
          <w:i/>
          <w:sz w:val="22"/>
          <w:szCs w:val="22"/>
          <w:lang w:val="en-ZA"/>
        </w:rPr>
        <w:t xml:space="preserve">Comment: </w:t>
      </w:r>
      <w:r w:rsidR="00FE065C" w:rsidRPr="00FE065C">
        <w:rPr>
          <w:rFonts w:ascii="Arial" w:hAnsi="Arial" w:cs="Arial"/>
          <w:iCs/>
          <w:sz w:val="22"/>
          <w:szCs w:val="22"/>
          <w:lang w:val="en-ZA"/>
        </w:rPr>
        <w:t>In February 2024, duties on still wine rose 7.1%, fortified and sparkling wine 7.2%, and spirits, RTDs, and beer 6.7%. In 2023, all duties were raised by at least 2% more than the headline consumer inflation, with wine-related products at CPI plus 2.5%. There's no clear justification for this above-inflation hike to curb wine consumption. The 2.5% increase above CPI for a small-volume category like wine is disproportionate. Urge a CPI-related adjustment for all alcohol categories this financial year, as wine, beer, and spirits are already at or exceeding their respective incidence rates of 11%, 23%, and 36%</w:t>
      </w:r>
      <w:r w:rsidR="00FE065C">
        <w:rPr>
          <w:rFonts w:ascii="Arial" w:hAnsi="Arial" w:cs="Arial"/>
          <w:iCs/>
          <w:sz w:val="22"/>
          <w:szCs w:val="22"/>
          <w:lang w:val="en-ZA"/>
        </w:rPr>
        <w:t>.</w:t>
      </w:r>
    </w:p>
    <w:p w14:paraId="56349D50" w14:textId="77777777" w:rsidR="00461422" w:rsidRPr="003F111D" w:rsidRDefault="00461422" w:rsidP="003F111D">
      <w:pPr>
        <w:pStyle w:val="BodyText"/>
        <w:spacing w:line="271" w:lineRule="auto"/>
        <w:ind w:left="492" w:right="153"/>
        <w:jc w:val="both"/>
        <w:rPr>
          <w:rFonts w:ascii="Arial" w:hAnsi="Arial" w:cs="Arial"/>
          <w:i/>
        </w:rPr>
      </w:pPr>
    </w:p>
    <w:p w14:paraId="56474793" w14:textId="33805998" w:rsidR="00375F5E" w:rsidRDefault="0B53AF01" w:rsidP="003F111D">
      <w:pPr>
        <w:pStyle w:val="BodyText"/>
        <w:spacing w:line="271" w:lineRule="auto"/>
        <w:ind w:left="831" w:right="152"/>
        <w:jc w:val="both"/>
        <w:rPr>
          <w:rFonts w:ascii="Arial" w:hAnsi="Arial" w:cs="Arial"/>
          <w:i/>
          <w:sz w:val="22"/>
          <w:szCs w:val="22"/>
          <w:lang w:val="en-ZA"/>
        </w:rPr>
      </w:pPr>
      <w:r w:rsidRPr="00FE065C">
        <w:rPr>
          <w:rFonts w:ascii="Arial" w:hAnsi="Arial" w:cs="Arial"/>
          <w:i/>
          <w:sz w:val="22"/>
          <w:szCs w:val="22"/>
          <w:lang w:val="en-ZA"/>
        </w:rPr>
        <w:t xml:space="preserve">Response: </w:t>
      </w:r>
      <w:r w:rsidRPr="00FE065C">
        <w:rPr>
          <w:rFonts w:ascii="Arial" w:hAnsi="Arial" w:cs="Arial"/>
          <w:iCs/>
          <w:sz w:val="22"/>
          <w:szCs w:val="22"/>
          <w:u w:val="single"/>
          <w:lang w:val="en-ZA"/>
        </w:rPr>
        <w:t>Noted</w:t>
      </w:r>
      <w:r w:rsidRPr="00FE065C">
        <w:rPr>
          <w:rFonts w:ascii="Arial" w:hAnsi="Arial" w:cs="Arial"/>
          <w:iCs/>
          <w:sz w:val="22"/>
          <w:szCs w:val="22"/>
          <w:lang w:val="en-ZA"/>
        </w:rPr>
        <w:t xml:space="preserve">. </w:t>
      </w:r>
      <w:r w:rsidR="001D53BB" w:rsidRPr="001D53BB">
        <w:rPr>
          <w:rFonts w:ascii="Arial" w:hAnsi="Arial" w:cs="Arial"/>
          <w:iCs/>
          <w:sz w:val="22"/>
          <w:szCs w:val="22"/>
          <w:lang w:val="en-GB"/>
        </w:rPr>
        <w:t>However, over the years, the excise adjustments on other categories of alcoholic products have been relatively higher creating a widening gap on the relative excise duties between categories</w:t>
      </w:r>
      <w:r w:rsidRPr="00FE065C">
        <w:rPr>
          <w:rFonts w:ascii="Arial" w:hAnsi="Arial" w:cs="Arial"/>
          <w:iCs/>
          <w:sz w:val="22"/>
          <w:szCs w:val="22"/>
          <w:lang w:val="en-ZA"/>
        </w:rPr>
        <w:t>.</w:t>
      </w:r>
      <w:r w:rsidRPr="00FE065C">
        <w:rPr>
          <w:rFonts w:ascii="Arial" w:hAnsi="Arial" w:cs="Arial"/>
          <w:i/>
          <w:sz w:val="22"/>
          <w:szCs w:val="22"/>
          <w:highlight w:val="yellow"/>
          <w:lang w:val="en-ZA"/>
        </w:rPr>
        <w:t xml:space="preserve">   </w:t>
      </w:r>
    </w:p>
    <w:p w14:paraId="29F93D4A" w14:textId="77777777" w:rsidR="00B5565F" w:rsidRPr="00FE065C" w:rsidRDefault="00B5565F" w:rsidP="003F111D">
      <w:pPr>
        <w:pStyle w:val="BodyText"/>
        <w:spacing w:line="271" w:lineRule="auto"/>
        <w:ind w:left="831" w:right="152"/>
        <w:jc w:val="both"/>
        <w:rPr>
          <w:sz w:val="22"/>
          <w:szCs w:val="22"/>
          <w:lang w:val="en-ZA"/>
        </w:rPr>
      </w:pPr>
    </w:p>
    <w:p w14:paraId="07E5285C" w14:textId="00C7BAB8" w:rsidR="00461422" w:rsidRPr="00EB4FA2" w:rsidRDefault="551E6CA2" w:rsidP="003F111D">
      <w:pPr>
        <w:pStyle w:val="Heading3"/>
        <w:numPr>
          <w:ilvl w:val="1"/>
          <w:numId w:val="37"/>
        </w:numPr>
        <w:tabs>
          <w:tab w:val="left" w:pos="961"/>
        </w:tabs>
        <w:spacing w:before="205"/>
        <w:rPr>
          <w:sz w:val="22"/>
          <w:szCs w:val="22"/>
          <w:lang w:val="en-ZA"/>
        </w:rPr>
      </w:pPr>
      <w:bookmarkStart w:id="35" w:name="_Toc189212097"/>
      <w:r w:rsidRPr="00EB4FA2">
        <w:rPr>
          <w:sz w:val="22"/>
          <w:szCs w:val="22"/>
          <w:lang w:val="en-ZA"/>
        </w:rPr>
        <w:t>Increase in excise duty on Electronic Nicotine &amp; Non-nicotine Systems</w:t>
      </w:r>
      <w:bookmarkEnd w:id="35"/>
    </w:p>
    <w:p w14:paraId="3D703437" w14:textId="77777777" w:rsidR="004E5BD4" w:rsidRPr="00EB4FA2" w:rsidRDefault="004E5BD4" w:rsidP="00461422">
      <w:pPr>
        <w:pStyle w:val="BodyText"/>
        <w:spacing w:line="271" w:lineRule="auto"/>
        <w:ind w:left="831" w:right="152"/>
        <w:jc w:val="both"/>
        <w:rPr>
          <w:rFonts w:ascii="Arial" w:hAnsi="Arial" w:cs="Arial"/>
          <w:iCs/>
          <w:sz w:val="22"/>
          <w:szCs w:val="22"/>
          <w:lang w:val="en-ZA"/>
        </w:rPr>
      </w:pPr>
    </w:p>
    <w:p w14:paraId="600A7E26" w14:textId="21FE8CE7" w:rsidR="00375F5E" w:rsidRPr="003F111D" w:rsidRDefault="551E6CA2" w:rsidP="003F111D">
      <w:pPr>
        <w:pStyle w:val="BodyText"/>
        <w:spacing w:line="271" w:lineRule="auto"/>
        <w:ind w:left="831" w:right="152"/>
        <w:jc w:val="both"/>
        <w:rPr>
          <w:rFonts w:ascii="Arial" w:hAnsi="Arial" w:cs="Arial"/>
          <w:iCs/>
        </w:rPr>
      </w:pPr>
      <w:r w:rsidRPr="003F111D">
        <w:rPr>
          <w:rFonts w:ascii="Arial" w:hAnsi="Arial" w:cs="Arial"/>
          <w:iCs/>
          <w:sz w:val="22"/>
          <w:szCs w:val="22"/>
          <w:lang w:val="en-ZA"/>
        </w:rPr>
        <w:t>Government implemented an excise duty on electronic nicotine and non-nicotine delivery systems, colloquially referred to as vaping, with effect from 1 June 2023 at a flat excise duty rate of R2.90 per millilitre on both nicotine and non-nicotine solutions. Government proposes to increase these excise duties in line with expected inflation to R3.04 per millilitre for 2024/25.</w:t>
      </w:r>
    </w:p>
    <w:p w14:paraId="795548F8" w14:textId="17AB659C" w:rsidR="00375F5E" w:rsidRPr="00EB4FA2" w:rsidRDefault="551E6CA2" w:rsidP="5BCFEF27">
      <w:pPr>
        <w:spacing w:line="276" w:lineRule="auto"/>
        <w:ind w:left="630"/>
        <w:jc w:val="both"/>
        <w:rPr>
          <w:rFonts w:ascii="Arial" w:eastAsia="Arial" w:hAnsi="Arial" w:cs="Arial"/>
        </w:rPr>
      </w:pPr>
      <w:r w:rsidRPr="00EB4FA2">
        <w:rPr>
          <w:rFonts w:ascii="Arial" w:eastAsia="Arial" w:hAnsi="Arial" w:cs="Arial"/>
        </w:rPr>
        <w:t xml:space="preserve"> </w:t>
      </w:r>
    </w:p>
    <w:p w14:paraId="6641AD2D" w14:textId="1EE574C8" w:rsidR="00375F5E" w:rsidRPr="003F111D" w:rsidRDefault="551E6CA2" w:rsidP="003F111D">
      <w:pPr>
        <w:pStyle w:val="BodyText"/>
        <w:spacing w:line="271" w:lineRule="auto"/>
        <w:ind w:left="492" w:right="153"/>
        <w:jc w:val="both"/>
        <w:rPr>
          <w:rFonts w:ascii="Arial" w:hAnsi="Arial" w:cs="Arial"/>
          <w:iCs/>
        </w:rPr>
      </w:pPr>
      <w:r w:rsidRPr="003F111D">
        <w:rPr>
          <w:rFonts w:ascii="Arial" w:hAnsi="Arial" w:cs="Arial"/>
          <w:i/>
          <w:sz w:val="22"/>
          <w:szCs w:val="22"/>
          <w:lang w:val="en-ZA"/>
        </w:rPr>
        <w:t xml:space="preserve">Comments: </w:t>
      </w:r>
      <w:r w:rsidRPr="003F111D">
        <w:rPr>
          <w:rFonts w:ascii="Arial" w:hAnsi="Arial" w:cs="Arial"/>
          <w:iCs/>
          <w:sz w:val="22"/>
          <w:szCs w:val="22"/>
          <w:lang w:val="en-ZA"/>
        </w:rPr>
        <w:t xml:space="preserve">The proposed rates for 2024/2025 are also suggesting an increase of about 4.8% in the next budget, just close to current inflation rates. Given the affordability of those products and in view of the alarming rates of consumption of electronic nicotine and non-nicotine delivery systems among the youth and the increasing evidence that the use of those products is becoming a gateway to cigarette smoking, current excise tax rates on those products need to be substantially increased, well above the suggested 4.8% and well above the tax increase on cigarettes. </w:t>
      </w:r>
    </w:p>
    <w:p w14:paraId="1463A69D" w14:textId="2CB8FF7E" w:rsidR="00375F5E" w:rsidRPr="00EB4FA2" w:rsidRDefault="551E6CA2" w:rsidP="5BCFEF27">
      <w:pPr>
        <w:spacing w:line="276" w:lineRule="auto"/>
        <w:ind w:left="630"/>
        <w:jc w:val="both"/>
        <w:rPr>
          <w:rFonts w:ascii="Arial" w:eastAsia="Arial" w:hAnsi="Arial" w:cs="Arial"/>
        </w:rPr>
      </w:pPr>
      <w:r w:rsidRPr="00EB4FA2">
        <w:rPr>
          <w:rFonts w:ascii="Arial" w:eastAsia="Arial" w:hAnsi="Arial" w:cs="Arial"/>
        </w:rPr>
        <w:t xml:space="preserve"> </w:t>
      </w:r>
    </w:p>
    <w:p w14:paraId="57E01147" w14:textId="72F16FED" w:rsidR="00375F5E" w:rsidRPr="003F111D" w:rsidRDefault="551E6CA2" w:rsidP="003F111D">
      <w:pPr>
        <w:pStyle w:val="BodyText"/>
        <w:spacing w:line="271" w:lineRule="auto"/>
        <w:ind w:left="831" w:right="152"/>
        <w:jc w:val="both"/>
        <w:rPr>
          <w:rFonts w:ascii="Arial" w:hAnsi="Arial" w:cs="Arial"/>
          <w:i/>
        </w:rPr>
      </w:pPr>
      <w:r w:rsidRPr="003F111D">
        <w:rPr>
          <w:rFonts w:ascii="Arial" w:hAnsi="Arial" w:cs="Arial"/>
          <w:i/>
          <w:sz w:val="22"/>
          <w:szCs w:val="22"/>
          <w:lang w:val="en-ZA"/>
        </w:rPr>
        <w:t xml:space="preserve">Response: </w:t>
      </w:r>
      <w:r w:rsidRPr="003F111D">
        <w:rPr>
          <w:rFonts w:ascii="Arial" w:hAnsi="Arial" w:cs="Arial"/>
          <w:iCs/>
          <w:sz w:val="22"/>
          <w:szCs w:val="22"/>
          <w:u w:val="single"/>
          <w:lang w:val="en-ZA"/>
        </w:rPr>
        <w:t>Noted</w:t>
      </w:r>
      <w:r w:rsidRPr="003F111D">
        <w:rPr>
          <w:rFonts w:ascii="Arial" w:hAnsi="Arial" w:cs="Arial"/>
          <w:iCs/>
          <w:sz w:val="22"/>
          <w:szCs w:val="22"/>
          <w:lang w:val="en-ZA"/>
        </w:rPr>
        <w:t>. This is still a relatively new area of excise taxation and will be reviewed over time to account for any concerns and new developments.</w:t>
      </w:r>
      <w:r w:rsidRPr="003F111D">
        <w:rPr>
          <w:rFonts w:ascii="Arial" w:hAnsi="Arial" w:cs="Arial"/>
          <w:i/>
          <w:sz w:val="22"/>
          <w:szCs w:val="22"/>
          <w:lang w:val="en-ZA"/>
        </w:rPr>
        <w:t xml:space="preserve">   </w:t>
      </w:r>
    </w:p>
    <w:p w14:paraId="39D5E6BB" w14:textId="2BF05190" w:rsidR="00375F5E" w:rsidRPr="00EB4FA2" w:rsidRDefault="551E6CA2" w:rsidP="5BCFEF27">
      <w:pPr>
        <w:spacing w:line="276" w:lineRule="auto"/>
        <w:ind w:left="1077"/>
        <w:jc w:val="both"/>
        <w:rPr>
          <w:rFonts w:ascii="Arial" w:eastAsia="Arial" w:hAnsi="Arial" w:cs="Arial"/>
        </w:rPr>
      </w:pPr>
      <w:r w:rsidRPr="00EB4FA2">
        <w:rPr>
          <w:rFonts w:ascii="Arial" w:eastAsia="Arial" w:hAnsi="Arial" w:cs="Arial"/>
        </w:rPr>
        <w:t xml:space="preserve"> </w:t>
      </w:r>
    </w:p>
    <w:p w14:paraId="2C178023" w14:textId="56669FAC" w:rsidR="00375F5E" w:rsidRPr="003F111D" w:rsidRDefault="551E6CA2" w:rsidP="003F111D">
      <w:pPr>
        <w:pStyle w:val="BodyText"/>
        <w:spacing w:line="271" w:lineRule="auto"/>
        <w:ind w:left="492" w:right="153"/>
        <w:jc w:val="both"/>
        <w:rPr>
          <w:rFonts w:ascii="Arial" w:hAnsi="Arial" w:cs="Arial"/>
          <w:i/>
        </w:rPr>
      </w:pPr>
      <w:r w:rsidRPr="003F111D">
        <w:rPr>
          <w:rFonts w:ascii="Arial" w:hAnsi="Arial" w:cs="Arial"/>
          <w:i/>
          <w:sz w:val="22"/>
          <w:szCs w:val="22"/>
          <w:lang w:val="en-ZA"/>
        </w:rPr>
        <w:t xml:space="preserve">Comments: </w:t>
      </w:r>
      <w:r w:rsidR="0053597E">
        <w:rPr>
          <w:rFonts w:ascii="Arial" w:hAnsi="Arial" w:cs="Arial"/>
          <w:iCs/>
          <w:sz w:val="22"/>
          <w:szCs w:val="22"/>
          <w:lang w:val="en-ZA"/>
        </w:rPr>
        <w:t>T</w:t>
      </w:r>
      <w:r w:rsidRPr="003F111D">
        <w:rPr>
          <w:rFonts w:ascii="Arial" w:hAnsi="Arial" w:cs="Arial"/>
          <w:iCs/>
          <w:sz w:val="22"/>
          <w:szCs w:val="22"/>
          <w:lang w:val="en-ZA"/>
        </w:rPr>
        <w:t>ax</w:t>
      </w:r>
      <w:r w:rsidR="0053597E">
        <w:rPr>
          <w:rFonts w:ascii="Arial" w:hAnsi="Arial" w:cs="Arial"/>
          <w:iCs/>
          <w:sz w:val="22"/>
          <w:szCs w:val="22"/>
          <w:lang w:val="en-ZA"/>
        </w:rPr>
        <w:t xml:space="preserve"> must</w:t>
      </w:r>
      <w:r w:rsidRPr="003F111D">
        <w:rPr>
          <w:rFonts w:ascii="Arial" w:hAnsi="Arial" w:cs="Arial"/>
          <w:iCs/>
          <w:sz w:val="22"/>
          <w:szCs w:val="22"/>
          <w:lang w:val="en-ZA"/>
        </w:rPr>
        <w:t xml:space="preserve"> be applied equally to all delivery systems whether or not they contain nicotine for ease of tax administration and based on evidence that many e-liquids labelled as nicotine-free actually contained nicotine when subject to lab tests.</w:t>
      </w:r>
    </w:p>
    <w:p w14:paraId="559177D1" w14:textId="4C47A4DA" w:rsidR="00375F5E" w:rsidRPr="00EB4FA2" w:rsidRDefault="551E6CA2" w:rsidP="5BCFEF27">
      <w:pPr>
        <w:spacing w:line="276" w:lineRule="auto"/>
        <w:ind w:left="630"/>
        <w:jc w:val="both"/>
        <w:rPr>
          <w:rFonts w:ascii="Arial" w:eastAsia="Arial" w:hAnsi="Arial" w:cs="Arial"/>
        </w:rPr>
      </w:pPr>
      <w:r w:rsidRPr="00EB4FA2">
        <w:rPr>
          <w:rFonts w:ascii="Arial" w:eastAsia="Arial" w:hAnsi="Arial" w:cs="Arial"/>
        </w:rPr>
        <w:t xml:space="preserve"> </w:t>
      </w:r>
    </w:p>
    <w:p w14:paraId="5D055092" w14:textId="1EBEB6EC" w:rsidR="00375F5E" w:rsidRPr="003F111D" w:rsidRDefault="551E6CA2" w:rsidP="003F111D">
      <w:pPr>
        <w:pStyle w:val="BodyText"/>
        <w:spacing w:line="271" w:lineRule="auto"/>
        <w:ind w:left="831" w:right="152"/>
        <w:jc w:val="both"/>
        <w:rPr>
          <w:rFonts w:ascii="Arial" w:hAnsi="Arial" w:cs="Arial"/>
          <w:i/>
        </w:rPr>
      </w:pPr>
      <w:r w:rsidRPr="003F111D">
        <w:rPr>
          <w:rFonts w:ascii="Arial" w:hAnsi="Arial" w:cs="Arial"/>
          <w:i/>
          <w:sz w:val="22"/>
          <w:szCs w:val="22"/>
          <w:lang w:val="en-ZA"/>
        </w:rPr>
        <w:t xml:space="preserve">Response: </w:t>
      </w:r>
      <w:r w:rsidRPr="003F111D">
        <w:rPr>
          <w:rFonts w:ascii="Arial" w:hAnsi="Arial" w:cs="Arial"/>
          <w:iCs/>
          <w:sz w:val="22"/>
          <w:szCs w:val="22"/>
          <w:u w:val="single"/>
          <w:lang w:val="en-ZA"/>
        </w:rPr>
        <w:t>Noted</w:t>
      </w:r>
      <w:r w:rsidRPr="003F111D">
        <w:rPr>
          <w:rFonts w:ascii="Arial" w:hAnsi="Arial" w:cs="Arial"/>
          <w:iCs/>
          <w:sz w:val="22"/>
          <w:szCs w:val="22"/>
          <w:lang w:val="en-ZA"/>
        </w:rPr>
        <w:t>. The initial proposal on the taxation of these products sought to account for nicotine in the excise design, however, after consultation with stakeholders it became apparent that it would impose administrative burden, hence the current excise</w:t>
      </w:r>
      <w:r w:rsidR="00827449">
        <w:rPr>
          <w:rFonts w:ascii="Arial" w:hAnsi="Arial" w:cs="Arial"/>
          <w:iCs/>
          <w:sz w:val="22"/>
          <w:szCs w:val="22"/>
          <w:lang w:val="en-ZA"/>
        </w:rPr>
        <w:t xml:space="preserve"> </w:t>
      </w:r>
      <w:r w:rsidR="00A02A89" w:rsidRPr="00A02A89">
        <w:rPr>
          <w:rFonts w:ascii="Arial" w:hAnsi="Arial" w:cs="Arial"/>
          <w:iCs/>
          <w:sz w:val="22"/>
          <w:szCs w:val="22"/>
          <w:lang w:val="en-ZA"/>
        </w:rPr>
        <w:t xml:space="preserve">is a simplified design which </w:t>
      </w:r>
      <w:r w:rsidRPr="003F111D">
        <w:rPr>
          <w:rFonts w:ascii="Arial" w:hAnsi="Arial" w:cs="Arial"/>
          <w:iCs/>
          <w:sz w:val="22"/>
          <w:szCs w:val="22"/>
          <w:lang w:val="en-ZA"/>
        </w:rPr>
        <w:t>does not make a distinction between nicotine and non-nicotine products.</w:t>
      </w:r>
      <w:r w:rsidRPr="003F111D">
        <w:rPr>
          <w:rFonts w:ascii="Arial" w:hAnsi="Arial" w:cs="Arial"/>
          <w:i/>
          <w:sz w:val="22"/>
          <w:szCs w:val="22"/>
          <w:lang w:val="en-ZA"/>
        </w:rPr>
        <w:t xml:space="preserve"> </w:t>
      </w:r>
    </w:p>
    <w:p w14:paraId="2B2E559D" w14:textId="6B0E9EBE" w:rsidR="00375F5E" w:rsidRPr="00EB4FA2" w:rsidRDefault="551E6CA2" w:rsidP="5BCFEF27">
      <w:pPr>
        <w:spacing w:line="276" w:lineRule="auto"/>
        <w:ind w:left="1077"/>
        <w:jc w:val="both"/>
        <w:rPr>
          <w:rFonts w:ascii="Arial" w:eastAsia="Arial" w:hAnsi="Arial" w:cs="Arial"/>
        </w:rPr>
      </w:pPr>
      <w:r w:rsidRPr="00EB4FA2">
        <w:rPr>
          <w:rFonts w:ascii="Arial" w:eastAsia="Arial" w:hAnsi="Arial" w:cs="Arial"/>
        </w:rPr>
        <w:t xml:space="preserve"> </w:t>
      </w:r>
    </w:p>
    <w:p w14:paraId="325BFD21" w14:textId="6484071E" w:rsidR="00375F5E" w:rsidRPr="003F111D" w:rsidRDefault="551E6CA2" w:rsidP="003F111D">
      <w:pPr>
        <w:pStyle w:val="BodyText"/>
        <w:spacing w:line="271" w:lineRule="auto"/>
        <w:ind w:left="492" w:right="153"/>
        <w:jc w:val="both"/>
        <w:rPr>
          <w:rFonts w:ascii="Arial" w:hAnsi="Arial" w:cs="Arial"/>
          <w:i/>
        </w:rPr>
      </w:pPr>
      <w:r w:rsidRPr="003F111D">
        <w:rPr>
          <w:rFonts w:ascii="Arial" w:hAnsi="Arial" w:cs="Arial"/>
          <w:i/>
          <w:sz w:val="22"/>
          <w:szCs w:val="22"/>
          <w:lang w:val="en-ZA"/>
        </w:rPr>
        <w:t xml:space="preserve">Comment:  </w:t>
      </w:r>
      <w:r w:rsidRPr="003F111D">
        <w:rPr>
          <w:rFonts w:ascii="Arial" w:hAnsi="Arial" w:cs="Arial"/>
          <w:iCs/>
          <w:sz w:val="22"/>
          <w:szCs w:val="22"/>
          <w:lang w:val="en-ZA"/>
        </w:rPr>
        <w:t>The latest excise increase is far too high in the South African context and may have unintended consequences in the medium to long term. If excise on vaping products is held at such a high level it will diminish the full potential for tobacco harm reduction and also start creating a market for illicit suppliers</w:t>
      </w:r>
      <w:r w:rsidRPr="003F111D">
        <w:rPr>
          <w:rFonts w:ascii="Arial" w:hAnsi="Arial" w:cs="Arial"/>
          <w:i/>
          <w:sz w:val="22"/>
          <w:szCs w:val="22"/>
          <w:lang w:val="en-ZA"/>
        </w:rPr>
        <w:t>.</w:t>
      </w:r>
    </w:p>
    <w:p w14:paraId="4B87032C" w14:textId="30314CC7" w:rsidR="00375F5E" w:rsidRPr="00EB4FA2" w:rsidRDefault="551E6CA2" w:rsidP="5BCFEF27">
      <w:pPr>
        <w:spacing w:line="276" w:lineRule="auto"/>
        <w:ind w:left="720"/>
        <w:jc w:val="both"/>
        <w:rPr>
          <w:rFonts w:ascii="Arial" w:eastAsia="Arial" w:hAnsi="Arial" w:cs="Arial"/>
          <w:i/>
          <w:iCs/>
        </w:rPr>
      </w:pPr>
      <w:r w:rsidRPr="00EB4FA2">
        <w:rPr>
          <w:rFonts w:ascii="Arial" w:eastAsia="Arial" w:hAnsi="Arial" w:cs="Arial"/>
          <w:i/>
          <w:iCs/>
        </w:rPr>
        <w:t xml:space="preserve"> </w:t>
      </w:r>
    </w:p>
    <w:p w14:paraId="2145103D" w14:textId="6459A8C6" w:rsidR="00375F5E" w:rsidRPr="003F111D" w:rsidRDefault="551E6CA2" w:rsidP="003F111D">
      <w:pPr>
        <w:pStyle w:val="BodyText"/>
        <w:spacing w:line="271" w:lineRule="auto"/>
        <w:ind w:left="831" w:right="152"/>
        <w:jc w:val="both"/>
        <w:rPr>
          <w:rFonts w:ascii="Arial" w:hAnsi="Arial" w:cs="Arial"/>
          <w:iCs/>
        </w:rPr>
      </w:pPr>
      <w:r w:rsidRPr="003F111D">
        <w:rPr>
          <w:rFonts w:ascii="Arial" w:hAnsi="Arial" w:cs="Arial"/>
          <w:i/>
          <w:sz w:val="22"/>
          <w:szCs w:val="22"/>
          <w:lang w:val="en-ZA"/>
        </w:rPr>
        <w:t xml:space="preserve">Response: </w:t>
      </w:r>
      <w:r w:rsidRPr="003F111D">
        <w:rPr>
          <w:rFonts w:ascii="Arial" w:hAnsi="Arial" w:cs="Arial"/>
          <w:iCs/>
          <w:sz w:val="22"/>
          <w:szCs w:val="22"/>
          <w:u w:val="single"/>
          <w:lang w:val="en-ZA"/>
        </w:rPr>
        <w:t>Not Accepted</w:t>
      </w:r>
      <w:r w:rsidRPr="003F111D">
        <w:rPr>
          <w:rFonts w:ascii="Arial" w:hAnsi="Arial" w:cs="Arial"/>
          <w:i/>
          <w:sz w:val="22"/>
          <w:szCs w:val="22"/>
          <w:lang w:val="en-ZA"/>
        </w:rPr>
        <w:t xml:space="preserve">. </w:t>
      </w:r>
      <w:r w:rsidRPr="003F111D">
        <w:rPr>
          <w:rFonts w:ascii="Arial" w:hAnsi="Arial" w:cs="Arial"/>
          <w:iCs/>
          <w:sz w:val="22"/>
          <w:szCs w:val="22"/>
          <w:lang w:val="en-ZA"/>
        </w:rPr>
        <w:t>The introductory rate implemented in June 2023 and the inflationary adjustment proposed is comparable to other rates applied in other jurisdictions that have implemented excise duties on ENDS/ENNDS.</w:t>
      </w:r>
    </w:p>
    <w:p w14:paraId="63DF2196" w14:textId="2815445E" w:rsidR="00375F5E" w:rsidRPr="00EB4FA2" w:rsidRDefault="551E6CA2" w:rsidP="5BCFEF27">
      <w:pPr>
        <w:spacing w:line="276" w:lineRule="auto"/>
        <w:ind w:left="568"/>
        <w:jc w:val="both"/>
        <w:rPr>
          <w:rFonts w:ascii="Arial" w:eastAsia="Arial" w:hAnsi="Arial" w:cs="Arial"/>
          <w:b/>
          <w:bCs/>
        </w:rPr>
      </w:pPr>
      <w:r w:rsidRPr="00EB4FA2">
        <w:rPr>
          <w:rFonts w:ascii="Arial" w:eastAsia="Arial" w:hAnsi="Arial" w:cs="Arial"/>
          <w:b/>
          <w:bCs/>
        </w:rPr>
        <w:t xml:space="preserve"> </w:t>
      </w:r>
    </w:p>
    <w:p w14:paraId="4BE1D2CB" w14:textId="30D83B2D" w:rsidR="00375F5E" w:rsidRPr="003F111D" w:rsidRDefault="551E6CA2" w:rsidP="003F111D">
      <w:pPr>
        <w:pStyle w:val="BodyText"/>
        <w:spacing w:line="271" w:lineRule="auto"/>
        <w:ind w:left="492" w:right="153"/>
        <w:jc w:val="both"/>
        <w:rPr>
          <w:rFonts w:ascii="Arial" w:hAnsi="Arial" w:cs="Arial"/>
          <w:i/>
          <w:sz w:val="22"/>
          <w:szCs w:val="22"/>
          <w:lang w:val="en-ZA"/>
        </w:rPr>
      </w:pPr>
      <w:r w:rsidRPr="003F111D">
        <w:rPr>
          <w:rFonts w:ascii="Arial" w:hAnsi="Arial" w:cs="Arial"/>
          <w:i/>
          <w:sz w:val="22"/>
          <w:szCs w:val="22"/>
          <w:lang w:val="en-ZA"/>
        </w:rPr>
        <w:t>Comment:</w:t>
      </w:r>
      <w:r w:rsidR="00104A5C">
        <w:rPr>
          <w:rFonts w:ascii="Arial" w:hAnsi="Arial" w:cs="Arial"/>
          <w:iCs/>
          <w:sz w:val="22"/>
          <w:szCs w:val="22"/>
          <w:lang w:val="en-ZA"/>
        </w:rPr>
        <w:t xml:space="preserve"> </w:t>
      </w:r>
      <w:r w:rsidRPr="003F111D">
        <w:rPr>
          <w:rFonts w:ascii="Arial" w:hAnsi="Arial" w:cs="Arial"/>
          <w:iCs/>
          <w:sz w:val="22"/>
          <w:szCs w:val="22"/>
          <w:lang w:val="en-ZA"/>
        </w:rPr>
        <w:t>The decision to increase the tax in less than 12 months of it being introduced is immature. At the time the excise tax increase was announced in February 2024, it was still less than a year old. Neither industry, nor consumers have fully adjusted to the tax. The increase should be held in abeyance for at least 24 months. Any increase should be preceded by an impact assessment which quantifies its impact on behaviour, industry and switching behaviour among smokers. As matters stand, the rate increase appears entirely arbitrary and unrelated to the purpose for which the tax was initially introduced.</w:t>
      </w:r>
    </w:p>
    <w:p w14:paraId="65379693" w14:textId="7DB244A4" w:rsidR="00375F5E" w:rsidRPr="00EB4FA2" w:rsidRDefault="551E6CA2" w:rsidP="5BCFEF27">
      <w:pPr>
        <w:spacing w:line="276" w:lineRule="auto"/>
        <w:ind w:left="720"/>
        <w:jc w:val="both"/>
        <w:rPr>
          <w:rFonts w:ascii="Arial" w:eastAsia="Arial" w:hAnsi="Arial" w:cs="Arial"/>
          <w:i/>
          <w:iCs/>
        </w:rPr>
      </w:pPr>
      <w:r w:rsidRPr="00EB4FA2">
        <w:rPr>
          <w:rFonts w:ascii="Arial" w:eastAsia="Arial" w:hAnsi="Arial" w:cs="Arial"/>
          <w:i/>
          <w:iCs/>
        </w:rPr>
        <w:t xml:space="preserve"> </w:t>
      </w:r>
    </w:p>
    <w:p w14:paraId="51887A2E" w14:textId="39534289" w:rsidR="00375F5E" w:rsidRPr="003F111D" w:rsidRDefault="551E6CA2" w:rsidP="003F111D">
      <w:pPr>
        <w:pStyle w:val="BodyText"/>
        <w:spacing w:line="271" w:lineRule="auto"/>
        <w:ind w:left="831" w:right="152"/>
        <w:jc w:val="both"/>
        <w:rPr>
          <w:rFonts w:ascii="Arial" w:hAnsi="Arial" w:cs="Arial"/>
          <w:iCs/>
          <w:sz w:val="22"/>
          <w:szCs w:val="22"/>
          <w:lang w:val="en-ZA"/>
        </w:rPr>
      </w:pPr>
      <w:r w:rsidRPr="003F111D">
        <w:rPr>
          <w:rFonts w:ascii="Arial" w:hAnsi="Arial" w:cs="Arial"/>
          <w:i/>
          <w:sz w:val="22"/>
          <w:szCs w:val="22"/>
          <w:lang w:val="en-ZA"/>
        </w:rPr>
        <w:t>Response:</w:t>
      </w:r>
      <w:r w:rsidRPr="003F111D">
        <w:rPr>
          <w:rFonts w:ascii="Arial" w:hAnsi="Arial" w:cs="Arial"/>
          <w:iCs/>
          <w:sz w:val="22"/>
          <w:szCs w:val="22"/>
          <w:lang w:val="en-ZA"/>
        </w:rPr>
        <w:t xml:space="preserve"> </w:t>
      </w:r>
      <w:r w:rsidRPr="003F111D">
        <w:rPr>
          <w:rFonts w:ascii="Arial" w:hAnsi="Arial" w:cs="Arial"/>
          <w:iCs/>
          <w:sz w:val="22"/>
          <w:szCs w:val="22"/>
          <w:u w:val="single"/>
          <w:lang w:val="en-ZA"/>
        </w:rPr>
        <w:t>Not Accepted</w:t>
      </w:r>
      <w:r w:rsidRPr="003F111D">
        <w:rPr>
          <w:rFonts w:ascii="Arial" w:hAnsi="Arial" w:cs="Arial"/>
          <w:iCs/>
          <w:sz w:val="22"/>
          <w:szCs w:val="22"/>
          <w:lang w:val="en-ZA"/>
        </w:rPr>
        <w:t xml:space="preserve">. The initial proposal as announced in the 2022 Budget was to implement the excise duty from 1 January 2023. However, in the 2022 draft TLAB a decision was made to have a later implementation date of 01 June 2023 to provide SARS and taxpayers sufficient time for the administration of the system. The inflationary adjustment just follows the budgetary cycle of annual adjustment to excise duties.  </w:t>
      </w:r>
    </w:p>
    <w:p w14:paraId="6F8639FF" w14:textId="1A456B01" w:rsidR="00375F5E" w:rsidRPr="003F111D" w:rsidRDefault="551E6CA2" w:rsidP="5BCFEF27">
      <w:pPr>
        <w:spacing w:line="276" w:lineRule="auto"/>
        <w:ind w:left="1000"/>
        <w:jc w:val="both"/>
        <w:rPr>
          <w:rFonts w:ascii="Arial" w:hAnsi="Arial" w:cs="Arial"/>
          <w:iCs/>
        </w:rPr>
      </w:pPr>
      <w:r w:rsidRPr="003F111D">
        <w:rPr>
          <w:rFonts w:ascii="Arial" w:hAnsi="Arial" w:cs="Arial"/>
          <w:iCs/>
        </w:rPr>
        <w:t xml:space="preserve"> </w:t>
      </w:r>
    </w:p>
    <w:p w14:paraId="54E76787" w14:textId="08B911F7" w:rsidR="00375F5E" w:rsidRPr="003F111D" w:rsidRDefault="551E6CA2" w:rsidP="003F111D">
      <w:pPr>
        <w:pStyle w:val="BodyText"/>
        <w:spacing w:line="271" w:lineRule="auto"/>
        <w:ind w:left="492" w:right="153"/>
        <w:jc w:val="both"/>
        <w:rPr>
          <w:rFonts w:ascii="Arial" w:hAnsi="Arial" w:cs="Arial"/>
          <w:i/>
          <w:sz w:val="22"/>
          <w:szCs w:val="22"/>
          <w:lang w:val="en-ZA"/>
        </w:rPr>
      </w:pPr>
      <w:r w:rsidRPr="003F111D">
        <w:rPr>
          <w:rFonts w:ascii="Arial" w:hAnsi="Arial" w:cs="Arial"/>
          <w:i/>
          <w:sz w:val="22"/>
          <w:szCs w:val="22"/>
          <w:lang w:val="en-ZA"/>
        </w:rPr>
        <w:t xml:space="preserve">Comment: </w:t>
      </w:r>
      <w:r w:rsidRPr="003F111D">
        <w:rPr>
          <w:rFonts w:ascii="Arial" w:hAnsi="Arial" w:cs="Arial"/>
          <w:iCs/>
          <w:sz w:val="22"/>
          <w:szCs w:val="22"/>
          <w:lang w:val="en-ZA"/>
        </w:rPr>
        <w:t>The popularity of disposable vapes, and the impact of the volume-based model provide little incentive to reduce demand, especially the youth, increase the risk of addiction given that most are 50mg variant, prevented most from working down their nicotine dependence level, shifted the market from local manufacturing to imported products, open the market to every conceivable retail outlet, and added to the environmental impact</w:t>
      </w:r>
      <w:r w:rsidRPr="003F111D">
        <w:rPr>
          <w:rFonts w:ascii="Arial" w:hAnsi="Arial" w:cs="Arial"/>
          <w:i/>
          <w:sz w:val="22"/>
          <w:szCs w:val="22"/>
          <w:lang w:val="en-ZA"/>
        </w:rPr>
        <w:t xml:space="preserve">. </w:t>
      </w:r>
    </w:p>
    <w:p w14:paraId="4AA8BA90" w14:textId="7491493B" w:rsidR="00375F5E" w:rsidRPr="00EB4FA2" w:rsidRDefault="551E6CA2" w:rsidP="5BCFEF27">
      <w:pPr>
        <w:spacing w:line="276" w:lineRule="auto"/>
        <w:ind w:left="1077"/>
        <w:jc w:val="both"/>
        <w:rPr>
          <w:rFonts w:ascii="Arial" w:eastAsia="Arial" w:hAnsi="Arial" w:cs="Arial"/>
          <w:b/>
          <w:bCs/>
          <w:i/>
          <w:iCs/>
        </w:rPr>
      </w:pPr>
      <w:r w:rsidRPr="00EB4FA2">
        <w:rPr>
          <w:rFonts w:ascii="Arial" w:eastAsia="Arial" w:hAnsi="Arial" w:cs="Arial"/>
          <w:b/>
          <w:bCs/>
          <w:i/>
          <w:iCs/>
        </w:rPr>
        <w:t xml:space="preserve"> </w:t>
      </w:r>
    </w:p>
    <w:p w14:paraId="694D4E99" w14:textId="1FE3CAB7" w:rsidR="00375F5E" w:rsidRPr="003F111D" w:rsidRDefault="551E6CA2" w:rsidP="003F111D">
      <w:pPr>
        <w:pStyle w:val="BodyText"/>
        <w:spacing w:line="271" w:lineRule="auto"/>
        <w:ind w:left="831" w:right="152"/>
        <w:jc w:val="both"/>
        <w:rPr>
          <w:rFonts w:ascii="Arial" w:hAnsi="Arial" w:cs="Arial"/>
          <w:i/>
          <w:sz w:val="22"/>
          <w:szCs w:val="22"/>
          <w:lang w:val="en-ZA"/>
        </w:rPr>
      </w:pPr>
      <w:r w:rsidRPr="003F111D">
        <w:rPr>
          <w:rFonts w:ascii="Arial" w:hAnsi="Arial" w:cs="Arial"/>
          <w:i/>
          <w:sz w:val="22"/>
          <w:szCs w:val="22"/>
          <w:lang w:val="en-ZA"/>
        </w:rPr>
        <w:t xml:space="preserve">Response: </w:t>
      </w:r>
      <w:r w:rsidRPr="003F111D">
        <w:rPr>
          <w:rFonts w:ascii="Arial" w:hAnsi="Arial" w:cs="Arial"/>
          <w:iCs/>
          <w:sz w:val="22"/>
          <w:szCs w:val="22"/>
          <w:u w:val="single"/>
          <w:lang w:val="en-ZA"/>
        </w:rPr>
        <w:t>Noted</w:t>
      </w:r>
      <w:r w:rsidRPr="003F111D">
        <w:rPr>
          <w:rFonts w:ascii="Arial" w:hAnsi="Arial" w:cs="Arial"/>
          <w:iCs/>
          <w:sz w:val="22"/>
          <w:szCs w:val="22"/>
          <w:lang w:val="en-ZA"/>
        </w:rPr>
        <w:t>. National Treasury will review the current design in due course to follow the new developments on the market and redesign the current excise regime if necessary.</w:t>
      </w:r>
      <w:r w:rsidRPr="003F111D">
        <w:rPr>
          <w:rFonts w:ascii="Arial" w:hAnsi="Arial" w:cs="Arial"/>
          <w:i/>
          <w:sz w:val="22"/>
          <w:szCs w:val="22"/>
          <w:lang w:val="en-ZA"/>
        </w:rPr>
        <w:t xml:space="preserve">  </w:t>
      </w:r>
    </w:p>
    <w:p w14:paraId="5B1A9594" w14:textId="3BB40109" w:rsidR="00375F5E" w:rsidRPr="00EB4FA2" w:rsidRDefault="551E6CA2" w:rsidP="5BCFEF27">
      <w:pPr>
        <w:spacing w:line="276" w:lineRule="auto"/>
        <w:ind w:left="720"/>
        <w:jc w:val="both"/>
        <w:rPr>
          <w:rFonts w:ascii="Arial" w:eastAsia="Arial" w:hAnsi="Arial" w:cs="Arial"/>
          <w:b/>
          <w:bCs/>
          <w:i/>
          <w:iCs/>
        </w:rPr>
      </w:pPr>
      <w:r w:rsidRPr="00EB4FA2">
        <w:rPr>
          <w:rFonts w:ascii="Arial" w:eastAsia="Arial" w:hAnsi="Arial" w:cs="Arial"/>
          <w:b/>
          <w:bCs/>
          <w:i/>
          <w:iCs/>
        </w:rPr>
        <w:t xml:space="preserve"> </w:t>
      </w:r>
    </w:p>
    <w:p w14:paraId="075EC94E" w14:textId="074EDCAF" w:rsidR="00375F5E" w:rsidRPr="003F111D" w:rsidRDefault="551E6CA2" w:rsidP="003F111D">
      <w:pPr>
        <w:pStyle w:val="BodyText"/>
        <w:spacing w:line="271" w:lineRule="auto"/>
        <w:ind w:left="492" w:right="153"/>
        <w:jc w:val="both"/>
        <w:rPr>
          <w:rFonts w:ascii="Arial" w:hAnsi="Arial" w:cs="Arial"/>
          <w:iCs/>
          <w:sz w:val="22"/>
          <w:szCs w:val="22"/>
          <w:lang w:val="en-ZA"/>
        </w:rPr>
      </w:pPr>
      <w:r w:rsidRPr="003F111D">
        <w:rPr>
          <w:rFonts w:ascii="Arial" w:hAnsi="Arial" w:cs="Arial"/>
          <w:i/>
          <w:sz w:val="22"/>
          <w:szCs w:val="22"/>
          <w:lang w:val="en-ZA"/>
        </w:rPr>
        <w:t xml:space="preserve">Comment: </w:t>
      </w:r>
      <w:r w:rsidRPr="003F111D">
        <w:rPr>
          <w:rFonts w:ascii="Arial" w:hAnsi="Arial" w:cs="Arial"/>
          <w:iCs/>
          <w:sz w:val="22"/>
          <w:szCs w:val="22"/>
          <w:lang w:val="en-ZA"/>
        </w:rPr>
        <w:t>Are there other product categories that garnish an excise without any regulations or standards in a country's legal framework? The lack of legislation and regulations does not prevent the youth from purchasing any END products. The current revenue generated from the tax on e-liquids includes the very people we set out to protect, our youth. Per-volume model sets the same price irrespective of the nicotine strength – 0mg to 50mg</w:t>
      </w:r>
      <w:r w:rsidR="00104A5C">
        <w:rPr>
          <w:rFonts w:ascii="Arial" w:hAnsi="Arial" w:cs="Arial"/>
          <w:iCs/>
          <w:sz w:val="22"/>
          <w:szCs w:val="22"/>
          <w:lang w:val="en-ZA"/>
        </w:rPr>
        <w:t>.</w:t>
      </w:r>
      <w:r w:rsidRPr="003F111D">
        <w:rPr>
          <w:rFonts w:ascii="Arial" w:hAnsi="Arial" w:cs="Arial"/>
          <w:iCs/>
          <w:sz w:val="22"/>
          <w:szCs w:val="22"/>
          <w:lang w:val="en-ZA"/>
        </w:rPr>
        <w:t xml:space="preserve"> </w:t>
      </w:r>
    </w:p>
    <w:p w14:paraId="6479E830" w14:textId="6E41A1ED" w:rsidR="00375F5E" w:rsidRPr="00EB4FA2" w:rsidRDefault="551E6CA2" w:rsidP="5BCFEF27">
      <w:pPr>
        <w:spacing w:line="276" w:lineRule="auto"/>
        <w:ind w:left="1077"/>
        <w:jc w:val="both"/>
        <w:rPr>
          <w:rFonts w:ascii="Arial" w:eastAsia="Arial" w:hAnsi="Arial" w:cs="Arial"/>
          <w:b/>
          <w:bCs/>
          <w:i/>
          <w:iCs/>
        </w:rPr>
      </w:pPr>
      <w:r w:rsidRPr="00EB4FA2">
        <w:rPr>
          <w:rFonts w:ascii="Arial" w:eastAsia="Arial" w:hAnsi="Arial" w:cs="Arial"/>
          <w:b/>
          <w:bCs/>
          <w:i/>
          <w:iCs/>
        </w:rPr>
        <w:t xml:space="preserve"> </w:t>
      </w:r>
    </w:p>
    <w:p w14:paraId="38F42AD4" w14:textId="02291820" w:rsidR="00375F5E" w:rsidRPr="003F111D" w:rsidRDefault="551E6CA2" w:rsidP="003F111D">
      <w:pPr>
        <w:pStyle w:val="BodyText"/>
        <w:spacing w:line="271" w:lineRule="auto"/>
        <w:ind w:left="831" w:right="152"/>
        <w:jc w:val="both"/>
        <w:rPr>
          <w:rFonts w:ascii="Arial" w:hAnsi="Arial" w:cs="Arial"/>
          <w:iCs/>
          <w:sz w:val="22"/>
          <w:szCs w:val="22"/>
          <w:lang w:val="en-ZA"/>
        </w:rPr>
      </w:pPr>
      <w:r w:rsidRPr="003F111D">
        <w:rPr>
          <w:rFonts w:ascii="Arial" w:hAnsi="Arial" w:cs="Arial"/>
          <w:i/>
          <w:sz w:val="22"/>
          <w:szCs w:val="22"/>
          <w:lang w:val="en-ZA"/>
        </w:rPr>
        <w:t xml:space="preserve">Response: </w:t>
      </w:r>
      <w:r w:rsidRPr="003F111D">
        <w:rPr>
          <w:rFonts w:ascii="Arial" w:hAnsi="Arial" w:cs="Arial"/>
          <w:iCs/>
          <w:sz w:val="22"/>
          <w:szCs w:val="22"/>
          <w:u w:val="single"/>
          <w:lang w:val="en-ZA"/>
        </w:rPr>
        <w:t>Noted</w:t>
      </w:r>
      <w:r w:rsidRPr="003F111D">
        <w:rPr>
          <w:rFonts w:ascii="Arial" w:hAnsi="Arial" w:cs="Arial"/>
          <w:iCs/>
          <w:sz w:val="22"/>
          <w:szCs w:val="22"/>
          <w:lang w:val="en-ZA"/>
        </w:rPr>
        <w:t>. The electronic nicotine and non-nicotine delivery systems (ENDS / ENNDS) are not harmless products, and the excise tax is a legitimate fiscal instrument that contributes to closing a regulatory loophole in the system that has placed the South African population (especially the youth) in a vulnerable position. The initial proposal on the taxation of these products sought to account for nicotine in the excise design, however, after consultation with stakeholders it became apparent that it would impose administrative burden, hence the current excise does not make a distinction between nicotine and non-nicotine products.</w:t>
      </w:r>
    </w:p>
    <w:p w14:paraId="65ED6524" w14:textId="608EFF1C" w:rsidR="00375F5E" w:rsidRPr="00EB4FA2" w:rsidRDefault="00375F5E" w:rsidP="251BE3F0">
      <w:pPr>
        <w:spacing w:line="276" w:lineRule="auto"/>
        <w:ind w:left="1077"/>
        <w:jc w:val="both"/>
        <w:rPr>
          <w:rFonts w:ascii="Arial" w:eastAsia="Arial" w:hAnsi="Arial" w:cs="Arial"/>
        </w:rPr>
      </w:pPr>
    </w:p>
    <w:p w14:paraId="511A8926" w14:textId="3EF0FE4C" w:rsidR="00375F5E" w:rsidRPr="00403DF5" w:rsidRDefault="551E6CA2" w:rsidP="251BE3F0">
      <w:pPr>
        <w:pStyle w:val="Heading3"/>
        <w:numPr>
          <w:ilvl w:val="1"/>
          <w:numId w:val="37"/>
        </w:numPr>
        <w:tabs>
          <w:tab w:val="left" w:pos="961"/>
        </w:tabs>
        <w:spacing w:before="151"/>
        <w:rPr>
          <w:sz w:val="22"/>
          <w:szCs w:val="22"/>
          <w:lang w:val="en-ZA"/>
        </w:rPr>
      </w:pPr>
      <w:bookmarkStart w:id="36" w:name="_Toc189212098"/>
      <w:r w:rsidRPr="00403DF5">
        <w:rPr>
          <w:sz w:val="22"/>
          <w:szCs w:val="22"/>
          <w:lang w:val="en-ZA"/>
        </w:rPr>
        <w:t>Illicit trade in excisable products</w:t>
      </w:r>
      <w:bookmarkEnd w:id="36"/>
    </w:p>
    <w:p w14:paraId="7A94B1D5" w14:textId="1082BAA3" w:rsidR="00375F5E" w:rsidRPr="00EB4FA2" w:rsidRDefault="00375F5E" w:rsidP="5BCFEF27">
      <w:pPr>
        <w:spacing w:line="276" w:lineRule="auto"/>
        <w:ind w:left="720"/>
        <w:jc w:val="both"/>
        <w:rPr>
          <w:rFonts w:ascii="Arial" w:eastAsia="Arial" w:hAnsi="Arial" w:cs="Arial"/>
          <w:b/>
          <w:bCs/>
          <w:i/>
          <w:iCs/>
        </w:rPr>
      </w:pPr>
    </w:p>
    <w:p w14:paraId="542C35F6" w14:textId="7A77A0C5" w:rsidR="00375F5E" w:rsidRPr="00EB4FA2" w:rsidRDefault="551E6CA2" w:rsidP="5BCFEF27">
      <w:pPr>
        <w:spacing w:line="276" w:lineRule="auto"/>
        <w:ind w:left="720"/>
        <w:jc w:val="both"/>
        <w:rPr>
          <w:rFonts w:ascii="Arial" w:eastAsia="Arial" w:hAnsi="Arial" w:cs="Arial"/>
        </w:rPr>
      </w:pPr>
      <w:r w:rsidRPr="003F111D">
        <w:rPr>
          <w:rFonts w:ascii="Arial" w:hAnsi="Arial" w:cs="Arial"/>
          <w:i/>
        </w:rPr>
        <w:t>Comments</w:t>
      </w:r>
      <w:r w:rsidRPr="00EB4FA2">
        <w:rPr>
          <w:rFonts w:ascii="Arial" w:eastAsia="Arial" w:hAnsi="Arial" w:cs="Arial"/>
          <w:i/>
          <w:iCs/>
        </w:rPr>
        <w:t>:</w:t>
      </w:r>
      <w:r w:rsidRPr="00EB4FA2">
        <w:rPr>
          <w:rFonts w:ascii="Arial" w:eastAsia="Arial" w:hAnsi="Arial" w:cs="Arial"/>
        </w:rPr>
        <w:t xml:space="preserve"> </w:t>
      </w:r>
    </w:p>
    <w:p w14:paraId="5412D0BB" w14:textId="5081A429" w:rsidR="00375F5E" w:rsidRPr="00EB4FA2" w:rsidRDefault="551E6CA2" w:rsidP="5BCFEF27">
      <w:pPr>
        <w:spacing w:line="276" w:lineRule="auto"/>
        <w:ind w:left="1134"/>
        <w:jc w:val="both"/>
        <w:rPr>
          <w:rFonts w:ascii="Arial" w:eastAsia="Arial" w:hAnsi="Arial" w:cs="Arial"/>
        </w:rPr>
      </w:pPr>
      <w:r w:rsidRPr="00EB4FA2">
        <w:rPr>
          <w:rFonts w:ascii="Arial" w:eastAsia="Arial" w:hAnsi="Arial" w:cs="Arial"/>
        </w:rPr>
        <w:t xml:space="preserve"> </w:t>
      </w:r>
    </w:p>
    <w:p w14:paraId="647D1AAA" w14:textId="5381112F" w:rsidR="00375F5E" w:rsidRPr="003F111D" w:rsidRDefault="551E6CA2" w:rsidP="5BCFEF27">
      <w:pPr>
        <w:pStyle w:val="ListParagraph"/>
        <w:numPr>
          <w:ilvl w:val="0"/>
          <w:numId w:val="14"/>
        </w:numPr>
        <w:spacing w:before="0" w:line="276" w:lineRule="auto"/>
        <w:ind w:left="1134"/>
        <w:jc w:val="both"/>
        <w:rPr>
          <w:rFonts w:eastAsia="Arial MT" w:hAnsi="Arial MT" w:cs="Arial MT"/>
          <w:lang w:val="en-ZA"/>
        </w:rPr>
      </w:pPr>
      <w:r w:rsidRPr="003F111D">
        <w:rPr>
          <w:rFonts w:eastAsia="Arial MT" w:hAnsi="Arial MT" w:cs="Arial MT"/>
          <w:lang w:val="en-ZA"/>
        </w:rPr>
        <w:t>Research conducted by Euromonitor in 2017 and again in 2020 confirms that the spirits segment accounts for more than 50% of all illicit alcohol volumes (HL LAE) in the market. The reality is that more than half of the retail sales price for an average bottle of spirits goes towards taxes. This allows illicit producers to discount their prices as consumers search for more affordable alternatives, thereby growing the illicit trade in spirits. The high tax burden on spirits creates a profit incentive for illicit producers to discount their prices because they do not pay taxes. In a market where illicit substitutes are available, a high and growing tax burden on spirits correlates with the growth on illicit spirit volumes (LAA) which indicates that, beyond enforcement, excise policy is a driver of illicit growth.</w:t>
      </w:r>
    </w:p>
    <w:p w14:paraId="69E07D9C" w14:textId="0CB88C22" w:rsidR="00375F5E" w:rsidRPr="00EB4FA2" w:rsidRDefault="551E6CA2" w:rsidP="5BCFEF27">
      <w:pPr>
        <w:spacing w:line="276" w:lineRule="auto"/>
        <w:ind w:left="1134"/>
        <w:jc w:val="both"/>
        <w:rPr>
          <w:rFonts w:ascii="Arial" w:eastAsia="Arial" w:hAnsi="Arial" w:cs="Arial"/>
        </w:rPr>
      </w:pPr>
      <w:r w:rsidRPr="00EB4FA2">
        <w:rPr>
          <w:rFonts w:ascii="Arial" w:eastAsia="Arial" w:hAnsi="Arial" w:cs="Arial"/>
        </w:rPr>
        <w:t xml:space="preserve"> </w:t>
      </w:r>
    </w:p>
    <w:p w14:paraId="3024F366" w14:textId="098FE738" w:rsidR="00375F5E" w:rsidRPr="00EB6076" w:rsidRDefault="551E6CA2" w:rsidP="5BCFEF27">
      <w:pPr>
        <w:pStyle w:val="ListParagraph"/>
        <w:numPr>
          <w:ilvl w:val="0"/>
          <w:numId w:val="14"/>
        </w:numPr>
        <w:spacing w:before="0" w:line="276" w:lineRule="auto"/>
        <w:ind w:left="1134"/>
        <w:jc w:val="both"/>
        <w:rPr>
          <w:lang w:val="en-ZA"/>
        </w:rPr>
      </w:pPr>
      <w:r w:rsidRPr="003F111D">
        <w:rPr>
          <w:rFonts w:eastAsia="Arial MT" w:hAnsi="Arial MT" w:cs="Arial MT"/>
          <w:lang w:val="en-ZA"/>
        </w:rPr>
        <w:t>It is widely reported that illicit producers have links to organised crime and that the growth of illicit trade fuels the levels of crime in our country. The syndicates operating in our sector seem to operate with impunity and law enforcement alone cannot reverse the tide of illicit trade and organised crime. Policy issues, such as over-regulation and taxation of the legal industry, plays an undeniable role in the growth of illicit trade.</w:t>
      </w:r>
    </w:p>
    <w:p w14:paraId="6960950F" w14:textId="029341FD" w:rsidR="00375F5E" w:rsidRPr="00EB4FA2" w:rsidRDefault="551E6CA2" w:rsidP="5BCFEF27">
      <w:pPr>
        <w:spacing w:line="276" w:lineRule="auto"/>
        <w:ind w:left="1134"/>
        <w:jc w:val="both"/>
        <w:rPr>
          <w:rFonts w:ascii="Arial" w:eastAsia="Arial" w:hAnsi="Arial" w:cs="Arial"/>
          <w:b/>
          <w:bCs/>
          <w:i/>
          <w:iCs/>
        </w:rPr>
      </w:pPr>
      <w:r w:rsidRPr="00EB4FA2">
        <w:rPr>
          <w:rFonts w:ascii="Arial" w:eastAsia="Arial" w:hAnsi="Arial" w:cs="Arial"/>
          <w:b/>
          <w:bCs/>
          <w:i/>
          <w:iCs/>
        </w:rPr>
        <w:t xml:space="preserve"> </w:t>
      </w:r>
    </w:p>
    <w:p w14:paraId="7C97EB4C" w14:textId="6B212377" w:rsidR="00375F5E" w:rsidRPr="003F111D" w:rsidRDefault="551E6CA2" w:rsidP="5BCFEF27">
      <w:pPr>
        <w:pStyle w:val="ListParagraph"/>
        <w:numPr>
          <w:ilvl w:val="0"/>
          <w:numId w:val="14"/>
        </w:numPr>
        <w:spacing w:before="0" w:line="276" w:lineRule="auto"/>
        <w:ind w:left="1134"/>
        <w:jc w:val="both"/>
        <w:rPr>
          <w:rFonts w:eastAsia="Arial MT" w:hAnsi="Arial MT" w:cs="Arial MT"/>
          <w:lang w:val="en-ZA"/>
        </w:rPr>
      </w:pPr>
      <w:r w:rsidRPr="003F111D">
        <w:rPr>
          <w:rFonts w:eastAsia="Arial MT" w:hAnsi="Arial MT" w:cs="Arial MT"/>
          <w:lang w:val="en-ZA"/>
        </w:rPr>
        <w:t>It is important to note that a decline in excise revenue should not be celebrated on the basis that it may mean that the consumption of spirits is in decline, it merely indicates that the consumption of LEGAL spirits is in decline. The consumption and availability of illicit spirits is on the rise, together with the multiple dangers to society that goes along with this trade.</w:t>
      </w:r>
    </w:p>
    <w:p w14:paraId="4326BF9C" w14:textId="616232DE" w:rsidR="00375F5E" w:rsidRPr="003F111D" w:rsidRDefault="551E6CA2" w:rsidP="00697CA5">
      <w:pPr>
        <w:pStyle w:val="ListParagraph"/>
        <w:spacing w:before="0" w:line="276" w:lineRule="auto"/>
        <w:ind w:left="1134" w:firstLine="0"/>
        <w:jc w:val="both"/>
        <w:rPr>
          <w:rFonts w:eastAsia="Arial MT" w:hAnsi="Arial MT" w:cs="Arial MT"/>
          <w:sz w:val="21"/>
          <w:szCs w:val="21"/>
          <w:lang w:val="en-ZA"/>
        </w:rPr>
      </w:pPr>
      <w:r w:rsidRPr="003F111D">
        <w:rPr>
          <w:rFonts w:eastAsia="Arial MT" w:hAnsi="Arial MT" w:cs="Arial MT"/>
          <w:sz w:val="21"/>
          <w:szCs w:val="21"/>
          <w:lang w:val="en-ZA"/>
        </w:rPr>
        <w:t xml:space="preserve"> </w:t>
      </w:r>
    </w:p>
    <w:p w14:paraId="1F8D9674" w14:textId="44E4C909" w:rsidR="00375F5E" w:rsidRPr="003F111D" w:rsidRDefault="551E6CA2" w:rsidP="5BCFEF27">
      <w:pPr>
        <w:pStyle w:val="ListParagraph"/>
        <w:numPr>
          <w:ilvl w:val="0"/>
          <w:numId w:val="14"/>
        </w:numPr>
        <w:spacing w:before="0" w:line="276" w:lineRule="auto"/>
        <w:ind w:left="1134"/>
        <w:jc w:val="both"/>
        <w:rPr>
          <w:rFonts w:eastAsia="Arial MT" w:hAnsi="Arial MT" w:cs="Arial MT"/>
          <w:lang w:val="en-ZA"/>
        </w:rPr>
      </w:pPr>
      <w:r w:rsidRPr="003F111D">
        <w:rPr>
          <w:rFonts w:eastAsia="Arial MT" w:hAnsi="Arial MT" w:cs="Arial MT"/>
          <w:lang w:val="en-ZA"/>
        </w:rPr>
        <w:t>We are of the view that the only way to reverse this trend is for Treasury to amend its excise policy to give industry a fighting chance to win back the market share lost to the illicit traders. Until such time as the excise policy is reviewed, we hold the view that excise adjustments should be below the prevailing CPI.</w:t>
      </w:r>
    </w:p>
    <w:p w14:paraId="497433B1" w14:textId="0DB7F4A1" w:rsidR="00375F5E" w:rsidRPr="003F111D" w:rsidRDefault="00375F5E" w:rsidP="00697CA5">
      <w:pPr>
        <w:pStyle w:val="ListParagraph"/>
        <w:spacing w:before="0" w:line="276" w:lineRule="auto"/>
        <w:ind w:left="1134" w:firstLine="0"/>
        <w:jc w:val="both"/>
        <w:rPr>
          <w:rFonts w:eastAsia="Arial MT" w:hAnsi="Arial MT" w:cs="Arial MT"/>
          <w:sz w:val="21"/>
          <w:szCs w:val="21"/>
          <w:lang w:val="en-ZA"/>
        </w:rPr>
      </w:pPr>
    </w:p>
    <w:p w14:paraId="69ED5114" w14:textId="1FB79F35" w:rsidR="00375F5E" w:rsidRPr="003F111D" w:rsidRDefault="551E6CA2" w:rsidP="5BCFEF27">
      <w:pPr>
        <w:pStyle w:val="ListParagraph"/>
        <w:numPr>
          <w:ilvl w:val="0"/>
          <w:numId w:val="14"/>
        </w:numPr>
        <w:spacing w:before="0" w:line="276" w:lineRule="auto"/>
        <w:ind w:left="1134"/>
        <w:jc w:val="both"/>
        <w:rPr>
          <w:rFonts w:eastAsia="Arial MT" w:hAnsi="Arial MT" w:cs="Arial MT"/>
          <w:lang w:val="en-ZA"/>
        </w:rPr>
      </w:pPr>
      <w:r w:rsidRPr="003F111D">
        <w:rPr>
          <w:rFonts w:eastAsia="Arial MT" w:hAnsi="Arial MT" w:cs="Arial MT"/>
          <w:lang w:val="en-ZA"/>
        </w:rPr>
        <w:t>The National Treasury refers to SARS as implementing compliance measures and collaborating with law enforcement. Still, they might lose sight of the unintended consequences of fuelling it with legal market price increases (raising excise above the CPI rate). The price gap between the tax leakage category (where sugar-fermented ales are classified) and the legal market is as high as 62%.</w:t>
      </w:r>
    </w:p>
    <w:p w14:paraId="4A4EE704" w14:textId="6819B5D5" w:rsidR="00375F5E" w:rsidRPr="003F111D" w:rsidRDefault="00375F5E" w:rsidP="00697CA5">
      <w:pPr>
        <w:pStyle w:val="ListParagraph"/>
        <w:spacing w:before="0" w:line="276" w:lineRule="auto"/>
        <w:ind w:left="1134" w:firstLine="0"/>
        <w:jc w:val="both"/>
        <w:rPr>
          <w:rFonts w:eastAsia="Arial MT" w:hAnsi="Arial MT" w:cs="Arial MT"/>
          <w:sz w:val="21"/>
          <w:szCs w:val="21"/>
          <w:lang w:val="en-ZA"/>
        </w:rPr>
      </w:pPr>
    </w:p>
    <w:p w14:paraId="2AD06568" w14:textId="477AE95B" w:rsidR="00375F5E" w:rsidRPr="003F111D" w:rsidRDefault="551E6CA2" w:rsidP="5BCFEF27">
      <w:pPr>
        <w:pStyle w:val="ListParagraph"/>
        <w:numPr>
          <w:ilvl w:val="0"/>
          <w:numId w:val="14"/>
        </w:numPr>
        <w:spacing w:before="0" w:line="276" w:lineRule="auto"/>
        <w:ind w:left="1134"/>
        <w:jc w:val="both"/>
        <w:rPr>
          <w:rFonts w:eastAsia="Arial MT" w:hAnsi="Arial MT" w:cs="Arial MT"/>
          <w:lang w:val="en-ZA"/>
        </w:rPr>
      </w:pPr>
      <w:r w:rsidRPr="003F111D">
        <w:rPr>
          <w:rFonts w:eastAsia="Arial MT" w:hAnsi="Arial MT" w:cs="Arial MT"/>
          <w:lang w:val="en-ZA"/>
        </w:rPr>
        <w:t>Excise is payable by manufacturers and are ONLY applicable to the legal and compliant producers. Illicit and non-compliant producers/traders benefit from any increase announced as it increases the demand for their products as well as their profit margins at the cost of legal, compliant businesses whose market share is reduced. Above inflation increases widen the price gap between these two markets and the illicit market gains.</w:t>
      </w:r>
    </w:p>
    <w:p w14:paraId="3145C331" w14:textId="6329454C" w:rsidR="00375F5E" w:rsidRPr="003F111D" w:rsidRDefault="00375F5E" w:rsidP="00697CA5">
      <w:pPr>
        <w:pStyle w:val="ListParagraph"/>
        <w:spacing w:before="0" w:line="276" w:lineRule="auto"/>
        <w:ind w:left="1134" w:firstLine="0"/>
        <w:jc w:val="both"/>
        <w:rPr>
          <w:rFonts w:eastAsia="Arial MT" w:hAnsi="Arial MT" w:cs="Arial MT"/>
          <w:sz w:val="21"/>
          <w:szCs w:val="21"/>
          <w:lang w:val="en-ZA"/>
        </w:rPr>
      </w:pPr>
    </w:p>
    <w:p w14:paraId="7BFEB445" w14:textId="60C37C0C" w:rsidR="00375F5E" w:rsidRPr="003F111D" w:rsidRDefault="551E6CA2" w:rsidP="5BCFEF27">
      <w:pPr>
        <w:pStyle w:val="ListParagraph"/>
        <w:numPr>
          <w:ilvl w:val="0"/>
          <w:numId w:val="14"/>
        </w:numPr>
        <w:spacing w:before="0" w:line="276" w:lineRule="auto"/>
        <w:ind w:left="1134"/>
        <w:jc w:val="both"/>
        <w:rPr>
          <w:rFonts w:eastAsia="Arial MT" w:hAnsi="Arial MT" w:cs="Arial MT"/>
          <w:lang w:val="en-ZA"/>
        </w:rPr>
      </w:pPr>
      <w:r w:rsidRPr="003F111D">
        <w:rPr>
          <w:rFonts w:eastAsia="Arial MT" w:hAnsi="Arial MT" w:cs="Arial MT"/>
          <w:lang w:val="en-ZA"/>
        </w:rPr>
        <w:t>South Africans have access to an increasing range of alternatives to legal alcohol, including drugs and illicit alcohol. Thus, making legal options more expensive is a risky policy approach, within the context that illicit alternatives are growing in availability and accessibility. Yes, illicit alcohol is an administration and enforcement issue, however the unintended consequences linked to excise rate increase cannot be ignored.</w:t>
      </w:r>
    </w:p>
    <w:p w14:paraId="77934A0E" w14:textId="46F551F1" w:rsidR="00375F5E" w:rsidRPr="003F111D" w:rsidRDefault="00375F5E" w:rsidP="00697CA5">
      <w:pPr>
        <w:pStyle w:val="ListParagraph"/>
        <w:spacing w:before="0" w:line="276" w:lineRule="auto"/>
        <w:ind w:left="1134" w:firstLine="0"/>
        <w:jc w:val="both"/>
        <w:rPr>
          <w:rFonts w:eastAsia="Arial MT" w:hAnsi="Arial MT" w:cs="Arial MT"/>
          <w:sz w:val="21"/>
          <w:szCs w:val="21"/>
          <w:lang w:val="en-ZA"/>
        </w:rPr>
      </w:pPr>
    </w:p>
    <w:p w14:paraId="7B5482F0" w14:textId="3D70B378" w:rsidR="00375F5E" w:rsidRPr="003F111D" w:rsidRDefault="551E6CA2" w:rsidP="5BCFEF27">
      <w:pPr>
        <w:pStyle w:val="ListParagraph"/>
        <w:numPr>
          <w:ilvl w:val="0"/>
          <w:numId w:val="14"/>
        </w:numPr>
        <w:spacing w:before="0" w:line="276" w:lineRule="auto"/>
        <w:ind w:left="1134"/>
        <w:jc w:val="both"/>
        <w:rPr>
          <w:rFonts w:eastAsia="Arial MT" w:hAnsi="Arial MT" w:cs="Arial MT"/>
          <w:lang w:val="en-ZA"/>
        </w:rPr>
      </w:pPr>
      <w:r w:rsidRPr="003F111D">
        <w:rPr>
          <w:rFonts w:eastAsia="Arial MT" w:hAnsi="Arial MT" w:cs="Arial MT"/>
          <w:lang w:val="en-ZA"/>
        </w:rPr>
        <w:t xml:space="preserve">A further crisis impacting the industry is the large and growing market for illicit alcohol, which provides consumers with access to more affordable alternatives, possibly with more associated harm, especially in vulnerable communities. These come in the form of sugar-fermented beverages (known as Ales), which benefit from not paying the total excise rate </w:t>
      </w:r>
      <w:r w:rsidRPr="003F111D">
        <w:rPr>
          <w:rFonts w:eastAsia="Arial MT" w:hAnsi="Arial MT" w:cs="Arial MT"/>
          <w:lang w:val="en-ZA"/>
        </w:rPr>
        <w:t>–</w:t>
      </w:r>
      <w:r w:rsidRPr="003F111D">
        <w:rPr>
          <w:rFonts w:eastAsia="Arial MT" w:hAnsi="Arial MT" w:cs="Arial MT"/>
          <w:lang w:val="en-ZA"/>
        </w:rPr>
        <w:t xml:space="preserve"> per the correct tariff determination -and thus provide a viable alternative to wine (and other categories) for financially constrained consumers. The potential harm to these communities is a matter of grave concern</w:t>
      </w:r>
    </w:p>
    <w:p w14:paraId="73668CB1" w14:textId="4C5568BC" w:rsidR="00375F5E" w:rsidRPr="003F111D" w:rsidRDefault="00375F5E" w:rsidP="00697CA5">
      <w:pPr>
        <w:pStyle w:val="ListParagraph"/>
        <w:spacing w:before="0" w:line="276" w:lineRule="auto"/>
        <w:ind w:left="1134" w:firstLine="0"/>
        <w:jc w:val="both"/>
        <w:rPr>
          <w:rFonts w:eastAsia="Arial MT" w:hAnsi="Arial MT" w:cs="Arial MT"/>
          <w:sz w:val="21"/>
          <w:szCs w:val="21"/>
          <w:lang w:val="en-ZA"/>
        </w:rPr>
      </w:pPr>
    </w:p>
    <w:p w14:paraId="11544E6C" w14:textId="269ABF79" w:rsidR="00375F5E" w:rsidRPr="003F111D" w:rsidRDefault="551E6CA2" w:rsidP="5BCFEF27">
      <w:pPr>
        <w:pStyle w:val="ListParagraph"/>
        <w:numPr>
          <w:ilvl w:val="0"/>
          <w:numId w:val="14"/>
        </w:numPr>
        <w:spacing w:before="0" w:line="276" w:lineRule="auto"/>
        <w:ind w:left="1134"/>
        <w:jc w:val="both"/>
        <w:rPr>
          <w:rFonts w:eastAsia="Arial MT" w:hAnsi="Arial MT" w:cs="Arial MT"/>
          <w:lang w:val="en-ZA"/>
        </w:rPr>
      </w:pPr>
      <w:r w:rsidRPr="003F111D">
        <w:rPr>
          <w:rFonts w:eastAsia="Arial MT" w:hAnsi="Arial MT" w:cs="Arial MT"/>
          <w:lang w:val="en-ZA"/>
        </w:rPr>
        <w:t xml:space="preserve">The latest research by Euromonitor International (2020) shows that the size of the illicit market in SA was 22% (volume of hectolitres of absolute alcohol) and had grown. It is incorrect to suggest that this is small and not of concern nor linked to disproportionate excise hikes. Illicit markets have grown over time and alcohol is no different - disproportionate, blanket regulation of the legal market fuels this growth as has been evidenced by tobacco in South Africa as well as the widespread media reports of the increased sophistication of illicit goods markets in SA, including food, clothing, pharmaceuticals, etc. The upward trend of the illicit market mirrors that of excise rate growth. </w:t>
      </w:r>
    </w:p>
    <w:p w14:paraId="2883BCE5" w14:textId="67DC6F75" w:rsidR="00375F5E" w:rsidRPr="00EB4FA2" w:rsidRDefault="551E6CA2" w:rsidP="5BCFEF27">
      <w:pPr>
        <w:spacing w:line="276" w:lineRule="auto"/>
        <w:ind w:left="1077"/>
        <w:jc w:val="both"/>
        <w:rPr>
          <w:rFonts w:ascii="Arial" w:eastAsia="Arial" w:hAnsi="Arial" w:cs="Arial"/>
          <w:b/>
          <w:bCs/>
          <w:i/>
          <w:iCs/>
        </w:rPr>
      </w:pPr>
      <w:r w:rsidRPr="00EB4FA2">
        <w:rPr>
          <w:rFonts w:ascii="Arial" w:eastAsia="Arial" w:hAnsi="Arial" w:cs="Arial"/>
          <w:b/>
          <w:bCs/>
          <w:i/>
          <w:iCs/>
        </w:rPr>
        <w:t xml:space="preserve"> </w:t>
      </w:r>
    </w:p>
    <w:p w14:paraId="706EA4AA" w14:textId="3C8F8279" w:rsidR="00375F5E" w:rsidRPr="003F111D" w:rsidRDefault="551E6CA2" w:rsidP="003F111D">
      <w:pPr>
        <w:pStyle w:val="BodyText"/>
        <w:spacing w:line="271" w:lineRule="auto"/>
        <w:ind w:left="831" w:right="152"/>
        <w:jc w:val="both"/>
        <w:rPr>
          <w:rFonts w:ascii="Arial"/>
        </w:rPr>
      </w:pPr>
      <w:r w:rsidRPr="003F111D">
        <w:rPr>
          <w:rFonts w:ascii="Arial" w:hAnsi="Arial" w:cs="Arial"/>
          <w:i/>
          <w:sz w:val="22"/>
          <w:szCs w:val="22"/>
          <w:lang w:val="en-ZA"/>
        </w:rPr>
        <w:t xml:space="preserve">Response: </w:t>
      </w:r>
      <w:r w:rsidRPr="003F111D">
        <w:rPr>
          <w:rFonts w:ascii="Arial"/>
          <w:sz w:val="22"/>
          <w:szCs w:val="22"/>
          <w:u w:val="single"/>
          <w:lang w:val="en-ZA"/>
        </w:rPr>
        <w:t>Noted</w:t>
      </w:r>
      <w:r w:rsidRPr="003F111D">
        <w:rPr>
          <w:rFonts w:ascii="Arial"/>
          <w:sz w:val="22"/>
          <w:szCs w:val="22"/>
          <w:lang w:val="en-ZA"/>
        </w:rPr>
        <w:t>. National Treasury acknowledges the problem of illicit trade and is concerned about it as it undermines government</w:t>
      </w:r>
      <w:r w:rsidRPr="003F111D">
        <w:rPr>
          <w:rFonts w:ascii="Arial"/>
          <w:sz w:val="22"/>
          <w:szCs w:val="22"/>
          <w:lang w:val="en-ZA"/>
        </w:rPr>
        <w:t>’</w:t>
      </w:r>
      <w:r w:rsidRPr="003F111D">
        <w:rPr>
          <w:rFonts w:ascii="Arial"/>
          <w:sz w:val="22"/>
          <w:szCs w:val="22"/>
          <w:lang w:val="en-ZA"/>
        </w:rPr>
        <w:t>s health and excise policy objectives. As other stakeholders have highlighted, illicit trade is an act of criminality and may involve organised crime syndicates. Therefore, it needs to be addressed through robust compliance and law enforcement mechanisms which include role-players such as SARS, police, the justice system and taxpayers, to address effectively. A call to reverse the excise tax regime is not a solution. SARS, as the administrator of excise taxes, is working on strengthening its capacity to deal with the illicit economy.</w:t>
      </w:r>
    </w:p>
    <w:p w14:paraId="0D434FB3" w14:textId="1049DE5B" w:rsidR="00375F5E" w:rsidRPr="00EB4FA2" w:rsidRDefault="551E6CA2" w:rsidP="5BCFEF27">
      <w:pPr>
        <w:spacing w:line="276" w:lineRule="auto"/>
        <w:ind w:left="720"/>
        <w:jc w:val="both"/>
        <w:rPr>
          <w:rFonts w:ascii="Arial" w:eastAsia="Arial" w:hAnsi="Arial" w:cs="Arial"/>
          <w:i/>
          <w:iCs/>
        </w:rPr>
      </w:pPr>
      <w:r w:rsidRPr="00EB4FA2">
        <w:rPr>
          <w:rFonts w:ascii="Arial" w:eastAsia="Arial" w:hAnsi="Arial" w:cs="Arial"/>
          <w:i/>
          <w:iCs/>
        </w:rPr>
        <w:t xml:space="preserve"> </w:t>
      </w:r>
    </w:p>
    <w:p w14:paraId="032E7140" w14:textId="6E1F3051" w:rsidR="00375F5E" w:rsidRPr="003F111D" w:rsidRDefault="551E6CA2" w:rsidP="003F111D">
      <w:pPr>
        <w:pStyle w:val="BodyText"/>
        <w:spacing w:line="271" w:lineRule="auto"/>
        <w:ind w:left="492" w:right="153"/>
        <w:jc w:val="both"/>
        <w:rPr>
          <w:rFonts w:ascii="Arial" w:hAnsi="Arial" w:cs="Arial"/>
          <w:i/>
        </w:rPr>
      </w:pPr>
      <w:r w:rsidRPr="003F111D">
        <w:rPr>
          <w:rFonts w:ascii="Arial" w:hAnsi="Arial" w:cs="Arial"/>
          <w:i/>
          <w:sz w:val="22"/>
          <w:szCs w:val="22"/>
          <w:lang w:val="en-ZA"/>
        </w:rPr>
        <w:t xml:space="preserve">Comments:  </w:t>
      </w:r>
      <w:r w:rsidRPr="003F111D">
        <w:rPr>
          <w:rFonts w:ascii="Arial"/>
          <w:sz w:val="22"/>
          <w:szCs w:val="22"/>
          <w:lang w:val="en-ZA"/>
        </w:rPr>
        <w:t>Evidence shows that weakened tax administration has a significant role in driving illicit trade in tobacco and alcohol products. Experience from many countries demonstrates that illicit trade can be successfully addressed, even when taxes and prices on these products are raised. Strengthening tax administration along the supply chain of alcoholic beverages can reduce unrecorded alcohol consumption, independently of the increases in excise taxes and prices.</w:t>
      </w:r>
    </w:p>
    <w:p w14:paraId="7E049018" w14:textId="40BC27CF" w:rsidR="00375F5E" w:rsidRPr="00EB4FA2" w:rsidRDefault="551E6CA2" w:rsidP="5BCFEF27">
      <w:pPr>
        <w:spacing w:line="276" w:lineRule="auto"/>
        <w:ind w:left="568"/>
        <w:jc w:val="both"/>
        <w:rPr>
          <w:rFonts w:ascii="Arial" w:eastAsia="Arial" w:hAnsi="Arial" w:cs="Arial"/>
        </w:rPr>
      </w:pPr>
      <w:r w:rsidRPr="00EB4FA2">
        <w:rPr>
          <w:rFonts w:ascii="Arial" w:eastAsia="Arial" w:hAnsi="Arial" w:cs="Arial"/>
        </w:rPr>
        <w:t xml:space="preserve"> </w:t>
      </w:r>
    </w:p>
    <w:p w14:paraId="11E5BB75" w14:textId="0793B66D" w:rsidR="00375F5E" w:rsidRPr="003F111D" w:rsidRDefault="551E6CA2" w:rsidP="003F111D">
      <w:pPr>
        <w:pStyle w:val="BodyText"/>
        <w:spacing w:line="271" w:lineRule="auto"/>
        <w:ind w:left="831" w:right="152"/>
        <w:jc w:val="both"/>
        <w:rPr>
          <w:rFonts w:ascii="Arial" w:hAnsi="Arial" w:cs="Arial"/>
          <w:i/>
        </w:rPr>
      </w:pPr>
      <w:r w:rsidRPr="003F111D">
        <w:rPr>
          <w:rFonts w:ascii="Arial" w:hAnsi="Arial" w:cs="Arial"/>
          <w:i/>
          <w:sz w:val="22"/>
          <w:szCs w:val="22"/>
          <w:lang w:val="en-ZA"/>
        </w:rPr>
        <w:t xml:space="preserve">Response: </w:t>
      </w:r>
      <w:r w:rsidRPr="003F111D">
        <w:rPr>
          <w:rFonts w:ascii="Arial"/>
          <w:sz w:val="22"/>
          <w:szCs w:val="22"/>
          <w:u w:val="single"/>
          <w:lang w:val="en-ZA"/>
        </w:rPr>
        <w:t>Noted</w:t>
      </w:r>
      <w:r w:rsidRPr="003F111D">
        <w:rPr>
          <w:rFonts w:ascii="Arial"/>
          <w:sz w:val="22"/>
          <w:szCs w:val="22"/>
          <w:lang w:val="en-ZA"/>
        </w:rPr>
        <w:t>. SARS, as the administrator of excise taxes, is working on strengthening its capacity to deal with the illicit economy.</w:t>
      </w:r>
    </w:p>
    <w:p w14:paraId="501B2F18" w14:textId="56E76FBA" w:rsidR="00375F5E" w:rsidRPr="00EB4FA2" w:rsidRDefault="551E6CA2" w:rsidP="5BCFEF27">
      <w:pPr>
        <w:spacing w:line="276" w:lineRule="auto"/>
        <w:ind w:left="1077"/>
        <w:jc w:val="both"/>
        <w:rPr>
          <w:rFonts w:ascii="Arial" w:eastAsia="Arial" w:hAnsi="Arial" w:cs="Arial"/>
        </w:rPr>
      </w:pPr>
      <w:r w:rsidRPr="00EB4FA2">
        <w:rPr>
          <w:rFonts w:ascii="Arial" w:eastAsia="Arial" w:hAnsi="Arial" w:cs="Arial"/>
        </w:rPr>
        <w:t xml:space="preserve"> </w:t>
      </w:r>
    </w:p>
    <w:p w14:paraId="1A80EDF3" w14:textId="61040535" w:rsidR="00375F5E" w:rsidRPr="003F111D" w:rsidRDefault="551E6CA2" w:rsidP="003F111D">
      <w:pPr>
        <w:pStyle w:val="BodyText"/>
        <w:spacing w:line="271" w:lineRule="auto"/>
        <w:ind w:left="492" w:right="153"/>
        <w:jc w:val="both"/>
        <w:rPr>
          <w:rFonts w:ascii="Arial" w:hAnsi="Arial" w:cs="Arial"/>
          <w:i/>
        </w:rPr>
      </w:pPr>
      <w:r w:rsidRPr="003F111D">
        <w:rPr>
          <w:rFonts w:ascii="Arial" w:hAnsi="Arial" w:cs="Arial"/>
          <w:i/>
          <w:sz w:val="22"/>
          <w:szCs w:val="22"/>
          <w:lang w:val="en-ZA"/>
        </w:rPr>
        <w:t xml:space="preserve">Comments: </w:t>
      </w:r>
      <w:r w:rsidRPr="003F111D">
        <w:rPr>
          <w:rFonts w:ascii="Arial"/>
          <w:sz w:val="22"/>
          <w:szCs w:val="22"/>
          <w:lang w:val="en-ZA"/>
        </w:rPr>
        <w:t>The Protocol to Eliminate Illicit Trade in Tobacco Products is an international treaty that aims to combat the illicit tobacco trade through various measures, including supply chain control (e.g. tracking and tracing), offence prosecution, and international cooperation. South Africa should become a Party to the Protocol and partner with the international community of countries committed to addressing illicit trade in tobacco products.</w:t>
      </w:r>
    </w:p>
    <w:p w14:paraId="410EC546" w14:textId="5FBD8E5F" w:rsidR="00375F5E" w:rsidRPr="00EB4FA2" w:rsidRDefault="551E6CA2" w:rsidP="5BCFEF27">
      <w:pPr>
        <w:spacing w:line="276" w:lineRule="auto"/>
        <w:ind w:left="630"/>
        <w:jc w:val="both"/>
        <w:rPr>
          <w:rFonts w:ascii="Arial" w:eastAsia="Arial" w:hAnsi="Arial" w:cs="Arial"/>
        </w:rPr>
      </w:pPr>
      <w:r w:rsidRPr="00EB4FA2">
        <w:rPr>
          <w:rFonts w:ascii="Arial" w:eastAsia="Arial" w:hAnsi="Arial" w:cs="Arial"/>
        </w:rPr>
        <w:t xml:space="preserve"> </w:t>
      </w:r>
    </w:p>
    <w:p w14:paraId="35B1B50B" w14:textId="53537D08" w:rsidR="00375F5E" w:rsidRPr="003F111D" w:rsidRDefault="551E6CA2" w:rsidP="003F111D">
      <w:pPr>
        <w:pStyle w:val="BodyText"/>
        <w:spacing w:line="271" w:lineRule="auto"/>
        <w:ind w:left="831" w:right="152"/>
        <w:jc w:val="both"/>
        <w:rPr>
          <w:rFonts w:ascii="Arial" w:hAnsi="Arial" w:cs="Arial"/>
          <w:i/>
        </w:rPr>
      </w:pPr>
      <w:r w:rsidRPr="003F111D">
        <w:rPr>
          <w:rFonts w:ascii="Arial" w:hAnsi="Arial" w:cs="Arial"/>
          <w:i/>
          <w:sz w:val="22"/>
          <w:szCs w:val="22"/>
          <w:lang w:val="en-ZA"/>
        </w:rPr>
        <w:t xml:space="preserve">Response: </w:t>
      </w:r>
      <w:r w:rsidRPr="003F111D">
        <w:rPr>
          <w:rFonts w:ascii="Arial"/>
          <w:sz w:val="22"/>
          <w:szCs w:val="22"/>
          <w:u w:val="single"/>
          <w:lang w:val="en-ZA"/>
        </w:rPr>
        <w:t>Noted</w:t>
      </w:r>
      <w:r w:rsidRPr="003F111D">
        <w:rPr>
          <w:rFonts w:ascii="Arial"/>
          <w:sz w:val="22"/>
          <w:szCs w:val="22"/>
          <w:lang w:val="en-ZA"/>
        </w:rPr>
        <w:t>. The National Department of Health is leading Government on the matter of ratifying the World Health Organisation's Protocol to Eliminate Illicit Trade in Tobacco Products. As part of the Protocol, South Africa would be required to consider, as appropriate developing a practical tracking and tracing regime that would further secure the distribution system and assist in the investigation of illicit trade. The implementation of a track and trace system would be beneficial for the administration of all excisable products as it would equally apply.</w:t>
      </w:r>
    </w:p>
    <w:p w14:paraId="05CDAB3E" w14:textId="043D7AED" w:rsidR="00375F5E" w:rsidRPr="00EB4FA2" w:rsidRDefault="551E6CA2" w:rsidP="5BCFEF27">
      <w:pPr>
        <w:spacing w:line="276" w:lineRule="auto"/>
        <w:ind w:left="1077"/>
        <w:jc w:val="both"/>
        <w:rPr>
          <w:rFonts w:ascii="Arial" w:eastAsia="Arial" w:hAnsi="Arial" w:cs="Arial"/>
        </w:rPr>
      </w:pPr>
      <w:r w:rsidRPr="00EB4FA2">
        <w:rPr>
          <w:rFonts w:ascii="Arial" w:eastAsia="Arial" w:hAnsi="Arial" w:cs="Arial"/>
        </w:rPr>
        <w:t xml:space="preserve"> </w:t>
      </w:r>
    </w:p>
    <w:p w14:paraId="299D2868" w14:textId="20F42072" w:rsidR="00375F5E" w:rsidRPr="003F111D" w:rsidRDefault="551E6CA2" w:rsidP="003F111D">
      <w:pPr>
        <w:pStyle w:val="BodyText"/>
        <w:spacing w:line="271" w:lineRule="auto"/>
        <w:ind w:left="492" w:right="153"/>
        <w:jc w:val="both"/>
        <w:rPr>
          <w:rFonts w:ascii="Arial" w:hAnsi="Arial" w:cs="Arial"/>
          <w:i/>
        </w:rPr>
      </w:pPr>
      <w:r w:rsidRPr="003F111D">
        <w:rPr>
          <w:rFonts w:ascii="Arial" w:hAnsi="Arial" w:cs="Arial"/>
          <w:i/>
          <w:sz w:val="22"/>
          <w:szCs w:val="22"/>
          <w:lang w:val="en-ZA"/>
        </w:rPr>
        <w:t xml:space="preserve">Comments: </w:t>
      </w:r>
      <w:r w:rsidRPr="003F111D">
        <w:rPr>
          <w:rFonts w:ascii="Arial"/>
          <w:sz w:val="22"/>
          <w:szCs w:val="22"/>
          <w:lang w:val="en-ZA"/>
        </w:rPr>
        <w:t xml:space="preserve">South Africa has one of the highest illicit cigarette trade levels in the world at up to 73% of annual consumption in 2023. Illicit products continue to sell on a mass scale for as little as R5.70 for a pack of 20 cigarettes and, with a Minimum Collectable Tax (MCT) alone of R25.04 on a pack of 20 cigarettes, it is not possible for the legal industry to </w:t>
      </w:r>
      <w:r w:rsidRPr="003F111D">
        <w:rPr>
          <w:rFonts w:ascii="Arial"/>
          <w:sz w:val="22"/>
          <w:szCs w:val="22"/>
          <w:lang w:val="en-ZA"/>
        </w:rPr>
        <w:t>“</w:t>
      </w:r>
      <w:r w:rsidRPr="003F111D">
        <w:rPr>
          <w:rFonts w:ascii="Arial"/>
          <w:sz w:val="22"/>
          <w:szCs w:val="22"/>
          <w:lang w:val="en-ZA"/>
        </w:rPr>
        <w:t>win back</w:t>
      </w:r>
      <w:r w:rsidRPr="003F111D">
        <w:rPr>
          <w:rFonts w:ascii="Arial"/>
          <w:sz w:val="22"/>
          <w:szCs w:val="22"/>
          <w:lang w:val="en-ZA"/>
        </w:rPr>
        <w:t>”</w:t>
      </w:r>
      <w:r w:rsidRPr="003F111D">
        <w:rPr>
          <w:rFonts w:ascii="Arial"/>
          <w:sz w:val="22"/>
          <w:szCs w:val="22"/>
          <w:lang w:val="en-ZA"/>
        </w:rPr>
        <w:t xml:space="preserve"> any volume from this illegal market segment.</w:t>
      </w:r>
    </w:p>
    <w:p w14:paraId="724090F3" w14:textId="1F75CA22" w:rsidR="00375F5E" w:rsidRPr="003F111D" w:rsidRDefault="551E6CA2" w:rsidP="003F111D">
      <w:pPr>
        <w:pStyle w:val="BodyText"/>
        <w:spacing w:line="271" w:lineRule="auto"/>
        <w:ind w:left="492" w:right="153"/>
        <w:jc w:val="both"/>
        <w:rPr>
          <w:rFonts w:ascii="Arial" w:hAnsi="Arial" w:cs="Arial"/>
          <w:i/>
        </w:rPr>
      </w:pPr>
      <w:r w:rsidRPr="003F111D">
        <w:rPr>
          <w:rFonts w:ascii="Arial" w:hAnsi="Arial" w:cs="Arial"/>
          <w:i/>
          <w:sz w:val="22"/>
          <w:szCs w:val="22"/>
          <w:lang w:val="en-ZA"/>
        </w:rPr>
        <w:t xml:space="preserve"> </w:t>
      </w:r>
    </w:p>
    <w:p w14:paraId="7701A81F" w14:textId="29FF4F72" w:rsidR="00375F5E" w:rsidRPr="003F111D" w:rsidRDefault="551E6CA2" w:rsidP="003F111D">
      <w:pPr>
        <w:pStyle w:val="BodyText"/>
        <w:spacing w:line="271" w:lineRule="auto"/>
        <w:ind w:left="492" w:right="153"/>
        <w:jc w:val="both"/>
        <w:rPr>
          <w:rFonts w:ascii="Arial"/>
        </w:rPr>
      </w:pPr>
      <w:r w:rsidRPr="003F111D">
        <w:rPr>
          <w:rFonts w:ascii="Arial"/>
          <w:sz w:val="22"/>
          <w:szCs w:val="22"/>
          <w:lang w:val="en-ZA"/>
        </w:rPr>
        <w:t>Introduce into Customs and Excise Act 91 of 1964 (</w:t>
      </w:r>
      <w:r w:rsidRPr="003F111D">
        <w:rPr>
          <w:rFonts w:ascii="Arial"/>
          <w:sz w:val="22"/>
          <w:szCs w:val="22"/>
          <w:lang w:val="en-ZA"/>
        </w:rPr>
        <w:t>“</w:t>
      </w:r>
      <w:r w:rsidRPr="003F111D">
        <w:rPr>
          <w:rFonts w:ascii="Arial"/>
          <w:sz w:val="22"/>
          <w:szCs w:val="22"/>
          <w:lang w:val="en-ZA"/>
        </w:rPr>
        <w:t>the Act</w:t>
      </w:r>
      <w:r w:rsidRPr="003F111D">
        <w:rPr>
          <w:rFonts w:ascii="Arial"/>
          <w:sz w:val="22"/>
          <w:szCs w:val="22"/>
          <w:lang w:val="en-ZA"/>
        </w:rPr>
        <w:t>”</w:t>
      </w:r>
      <w:r w:rsidRPr="003F111D">
        <w:rPr>
          <w:rFonts w:ascii="Arial"/>
          <w:sz w:val="22"/>
          <w:szCs w:val="22"/>
          <w:lang w:val="en-ZA"/>
        </w:rPr>
        <w:t>), through a primary legislation change, a Minimum Retail Price (</w:t>
      </w:r>
      <w:r w:rsidRPr="003F111D">
        <w:rPr>
          <w:rFonts w:ascii="Arial"/>
          <w:sz w:val="22"/>
          <w:szCs w:val="22"/>
          <w:lang w:val="en-ZA"/>
        </w:rPr>
        <w:t>“</w:t>
      </w:r>
      <w:r w:rsidRPr="003F111D">
        <w:rPr>
          <w:rFonts w:ascii="Arial"/>
          <w:sz w:val="22"/>
          <w:szCs w:val="22"/>
          <w:lang w:val="en-ZA"/>
        </w:rPr>
        <w:t>MRP</w:t>
      </w:r>
      <w:r w:rsidRPr="003F111D">
        <w:rPr>
          <w:rFonts w:ascii="Arial"/>
          <w:sz w:val="22"/>
          <w:szCs w:val="22"/>
          <w:lang w:val="en-ZA"/>
        </w:rPr>
        <w:t>”</w:t>
      </w:r>
      <w:r w:rsidRPr="003F111D">
        <w:rPr>
          <w:rFonts w:ascii="Arial"/>
          <w:sz w:val="22"/>
          <w:szCs w:val="22"/>
          <w:lang w:val="en-ZA"/>
        </w:rPr>
        <w:t xml:space="preserve">) point of R34 per pack of 20 cigarettes to achieve effective enforcement and to address retail tax compliance. This change should not take place as part of the excise policy framework review (as previously noted by National Treasury in a response to our proposals) but rather through an amendment to the Act. A primary legislation change will allow all stakeholders to provide support (through detailed public consultation) to National Treasury as to why the proposed price point is too high or too low. In addition, it will allow the MRP to be adjusted annually through secondary legislation and will allow for the MRP to be </w:t>
      </w:r>
      <w:r w:rsidRPr="003F111D">
        <w:rPr>
          <w:rFonts w:ascii="Arial"/>
          <w:sz w:val="22"/>
          <w:szCs w:val="22"/>
          <w:lang w:val="en-ZA"/>
        </w:rPr>
        <w:t>“</w:t>
      </w:r>
      <w:r w:rsidRPr="003F111D">
        <w:rPr>
          <w:rFonts w:ascii="Arial"/>
          <w:sz w:val="22"/>
          <w:szCs w:val="22"/>
          <w:lang w:val="en-ZA"/>
        </w:rPr>
        <w:t>turned off</w:t>
      </w:r>
      <w:r w:rsidRPr="003F111D">
        <w:rPr>
          <w:rFonts w:ascii="Arial"/>
          <w:sz w:val="22"/>
          <w:szCs w:val="22"/>
          <w:lang w:val="en-ZA"/>
        </w:rPr>
        <w:t>”</w:t>
      </w:r>
      <w:r w:rsidRPr="003F111D">
        <w:rPr>
          <w:rFonts w:ascii="Arial"/>
          <w:sz w:val="22"/>
          <w:szCs w:val="22"/>
          <w:lang w:val="en-ZA"/>
        </w:rPr>
        <w:t xml:space="preserve"> once illicit trade has been brought under control. </w:t>
      </w:r>
    </w:p>
    <w:p w14:paraId="6C11F0DF" w14:textId="73169008" w:rsidR="00375F5E" w:rsidRPr="00EB4FA2" w:rsidRDefault="551E6CA2" w:rsidP="5BCFEF27">
      <w:pPr>
        <w:spacing w:line="276" w:lineRule="auto"/>
        <w:ind w:left="720"/>
        <w:jc w:val="both"/>
        <w:rPr>
          <w:rFonts w:ascii="Arial" w:eastAsia="Arial" w:hAnsi="Arial" w:cs="Arial"/>
          <w:i/>
          <w:iCs/>
        </w:rPr>
      </w:pPr>
      <w:r w:rsidRPr="00EB4FA2">
        <w:rPr>
          <w:rFonts w:ascii="Arial" w:eastAsia="Arial" w:hAnsi="Arial" w:cs="Arial"/>
          <w:i/>
          <w:iCs/>
        </w:rPr>
        <w:t xml:space="preserve"> </w:t>
      </w:r>
    </w:p>
    <w:p w14:paraId="2C04B61E" w14:textId="0E9B0296" w:rsidR="00375F5E" w:rsidRPr="003F111D" w:rsidRDefault="551E6CA2" w:rsidP="003F111D">
      <w:pPr>
        <w:pStyle w:val="BodyText"/>
        <w:spacing w:line="271" w:lineRule="auto"/>
        <w:ind w:left="831" w:right="152"/>
        <w:jc w:val="both"/>
        <w:rPr>
          <w:rFonts w:ascii="Arial"/>
        </w:rPr>
      </w:pPr>
      <w:r w:rsidRPr="003F111D">
        <w:rPr>
          <w:rFonts w:ascii="Arial" w:hAnsi="Arial" w:cs="Arial"/>
          <w:i/>
          <w:sz w:val="22"/>
          <w:szCs w:val="22"/>
          <w:lang w:val="en-ZA"/>
        </w:rPr>
        <w:t xml:space="preserve">Response: </w:t>
      </w:r>
      <w:r w:rsidRPr="003F111D">
        <w:rPr>
          <w:rFonts w:ascii="Arial"/>
          <w:sz w:val="22"/>
          <w:szCs w:val="22"/>
          <w:u w:val="single"/>
          <w:lang w:val="en-ZA"/>
        </w:rPr>
        <w:t>Noted</w:t>
      </w:r>
      <w:r w:rsidRPr="003F111D">
        <w:rPr>
          <w:rFonts w:ascii="Arial"/>
          <w:sz w:val="22"/>
          <w:szCs w:val="22"/>
          <w:lang w:val="en-ZA"/>
        </w:rPr>
        <w:t xml:space="preserve">. The issue of Minimum Retail Sales Price is receiving attention, and at an appropriate time government will make its decision known on this matter. </w:t>
      </w:r>
      <w:r w:rsidR="00B97AD7" w:rsidRPr="00B97AD7">
        <w:rPr>
          <w:rFonts w:ascii="Arial"/>
          <w:sz w:val="22"/>
          <w:szCs w:val="22"/>
          <w:lang w:val="en-ZA"/>
        </w:rPr>
        <w:t>However, it should be noted that even though this measure may assist in reducing consumption due to higher prices, it doesn</w:t>
      </w:r>
      <w:r w:rsidR="00B97AD7" w:rsidRPr="00B97AD7">
        <w:rPr>
          <w:rFonts w:ascii="Arial"/>
          <w:sz w:val="22"/>
          <w:szCs w:val="22"/>
          <w:lang w:val="en-ZA"/>
        </w:rPr>
        <w:t>’</w:t>
      </w:r>
      <w:r w:rsidR="00B97AD7" w:rsidRPr="00B97AD7">
        <w:rPr>
          <w:rFonts w:ascii="Arial"/>
          <w:sz w:val="22"/>
          <w:szCs w:val="22"/>
          <w:lang w:val="en-ZA"/>
        </w:rPr>
        <w:t>t by itself ensure compliance with excise duty obligations</w:t>
      </w:r>
      <w:r w:rsidR="00072581">
        <w:rPr>
          <w:rFonts w:ascii="Arial"/>
          <w:sz w:val="22"/>
          <w:szCs w:val="22"/>
          <w:lang w:val="en-ZA"/>
        </w:rPr>
        <w:t>.</w:t>
      </w:r>
      <w:r w:rsidRPr="003F111D">
        <w:rPr>
          <w:rFonts w:ascii="Arial"/>
          <w:sz w:val="22"/>
          <w:szCs w:val="22"/>
          <w:lang w:val="en-ZA"/>
        </w:rPr>
        <w:t xml:space="preserve"> </w:t>
      </w:r>
    </w:p>
    <w:p w14:paraId="65EF20FB" w14:textId="6AA6876F" w:rsidR="00375F5E" w:rsidRPr="00EB4FA2" w:rsidRDefault="551E6CA2" w:rsidP="5BCFEF27">
      <w:pPr>
        <w:spacing w:line="276" w:lineRule="auto"/>
        <w:ind w:left="1077"/>
        <w:jc w:val="both"/>
        <w:rPr>
          <w:rFonts w:ascii="Arial" w:eastAsia="Arial" w:hAnsi="Arial" w:cs="Arial"/>
          <w:i/>
          <w:iCs/>
        </w:rPr>
      </w:pPr>
      <w:r w:rsidRPr="00EB4FA2">
        <w:rPr>
          <w:rFonts w:ascii="Arial" w:eastAsia="Arial" w:hAnsi="Arial" w:cs="Arial"/>
          <w:i/>
          <w:iCs/>
        </w:rPr>
        <w:t xml:space="preserve"> </w:t>
      </w:r>
    </w:p>
    <w:p w14:paraId="5EA7E188" w14:textId="4510FF42" w:rsidR="00375F5E" w:rsidRPr="003F111D" w:rsidRDefault="551E6CA2" w:rsidP="003F111D">
      <w:pPr>
        <w:pStyle w:val="BodyText"/>
        <w:spacing w:line="271" w:lineRule="auto"/>
        <w:ind w:left="492" w:right="153"/>
        <w:jc w:val="both"/>
        <w:rPr>
          <w:rFonts w:ascii="Arial" w:hAnsi="Arial" w:cs="Arial"/>
          <w:i/>
        </w:rPr>
      </w:pPr>
      <w:r w:rsidRPr="003F111D">
        <w:rPr>
          <w:rFonts w:ascii="Arial" w:hAnsi="Arial" w:cs="Arial"/>
          <w:i/>
          <w:sz w:val="22"/>
          <w:szCs w:val="22"/>
          <w:lang w:val="en-ZA"/>
        </w:rPr>
        <w:t xml:space="preserve">Comment: </w:t>
      </w:r>
      <w:r w:rsidRPr="003F111D">
        <w:rPr>
          <w:rFonts w:ascii="Arial"/>
          <w:sz w:val="22"/>
          <w:szCs w:val="22"/>
          <w:lang w:val="en-ZA"/>
        </w:rPr>
        <w:t xml:space="preserve">Allocate additional </w:t>
      </w:r>
      <w:r w:rsidRPr="003F111D">
        <w:rPr>
          <w:rFonts w:ascii="Arial"/>
          <w:sz w:val="22"/>
          <w:szCs w:val="22"/>
          <w:lang w:val="en-ZA"/>
        </w:rPr>
        <w:t>“</w:t>
      </w:r>
      <w:r w:rsidRPr="003F111D">
        <w:rPr>
          <w:rFonts w:ascii="Arial"/>
          <w:sz w:val="22"/>
          <w:szCs w:val="22"/>
          <w:lang w:val="en-ZA"/>
        </w:rPr>
        <w:t>ring fenced budget</w:t>
      </w:r>
      <w:r w:rsidRPr="003F111D">
        <w:rPr>
          <w:rFonts w:ascii="Arial"/>
          <w:sz w:val="22"/>
          <w:szCs w:val="22"/>
          <w:lang w:val="en-ZA"/>
        </w:rPr>
        <w:t>”</w:t>
      </w:r>
      <w:r w:rsidRPr="003F111D">
        <w:rPr>
          <w:rFonts w:ascii="Arial"/>
          <w:sz w:val="22"/>
          <w:szCs w:val="22"/>
          <w:lang w:val="en-ZA"/>
        </w:rPr>
        <w:t xml:space="preserve"> to SARS, of at least R1 billion per annum, for purposes of illicit trade enforcement on tobacco products. This will enable SARS to implement technology and deploy resource to adequality deal with the illicit trade problem. Countries are recognising the </w:t>
      </w:r>
      <w:r w:rsidRPr="003F111D">
        <w:rPr>
          <w:rFonts w:ascii="Arial"/>
          <w:sz w:val="22"/>
          <w:szCs w:val="22"/>
          <w:lang w:val="en-ZA"/>
        </w:rPr>
        <w:t>“</w:t>
      </w:r>
      <w:r w:rsidRPr="003F111D">
        <w:rPr>
          <w:rFonts w:ascii="Arial"/>
          <w:sz w:val="22"/>
          <w:szCs w:val="22"/>
          <w:lang w:val="en-ZA"/>
        </w:rPr>
        <w:t>Return on Investment</w:t>
      </w:r>
      <w:r w:rsidRPr="003F111D">
        <w:rPr>
          <w:rFonts w:ascii="Arial"/>
          <w:sz w:val="22"/>
          <w:szCs w:val="22"/>
          <w:lang w:val="en-ZA"/>
        </w:rPr>
        <w:t>”</w:t>
      </w:r>
      <w:r w:rsidRPr="003F111D">
        <w:rPr>
          <w:rFonts w:ascii="Arial"/>
          <w:sz w:val="22"/>
          <w:szCs w:val="22"/>
          <w:lang w:val="en-ZA"/>
        </w:rPr>
        <w:t xml:space="preserve"> (from a public health and public revenue perspective) that additional budget spend on tobacco enforcement can have.</w:t>
      </w:r>
    </w:p>
    <w:p w14:paraId="340DFF83" w14:textId="7A31DA8E" w:rsidR="00375F5E" w:rsidRPr="00EB4FA2" w:rsidRDefault="551E6CA2" w:rsidP="5BCFEF27">
      <w:pPr>
        <w:spacing w:line="276" w:lineRule="auto"/>
        <w:ind w:left="1077"/>
        <w:jc w:val="both"/>
        <w:rPr>
          <w:rFonts w:ascii="Arial" w:eastAsia="Arial" w:hAnsi="Arial" w:cs="Arial"/>
          <w:b/>
          <w:bCs/>
          <w:i/>
          <w:iCs/>
        </w:rPr>
      </w:pPr>
      <w:r w:rsidRPr="00EB4FA2">
        <w:rPr>
          <w:rFonts w:ascii="Arial" w:eastAsia="Arial" w:hAnsi="Arial" w:cs="Arial"/>
          <w:b/>
          <w:bCs/>
          <w:i/>
          <w:iCs/>
        </w:rPr>
        <w:t xml:space="preserve"> </w:t>
      </w:r>
    </w:p>
    <w:p w14:paraId="7853AA95" w14:textId="707A07A1" w:rsidR="0053674E" w:rsidRPr="003F111D" w:rsidRDefault="551E6CA2" w:rsidP="003F111D">
      <w:pPr>
        <w:pStyle w:val="BodyText"/>
        <w:spacing w:line="271" w:lineRule="auto"/>
        <w:ind w:left="831" w:right="152"/>
        <w:jc w:val="both"/>
        <w:rPr>
          <w:rFonts w:ascii="Arial" w:hAnsi="Arial" w:cs="Arial"/>
          <w:i/>
        </w:rPr>
      </w:pPr>
      <w:r w:rsidRPr="003F111D">
        <w:rPr>
          <w:rFonts w:ascii="Arial" w:hAnsi="Arial" w:cs="Arial"/>
          <w:i/>
          <w:sz w:val="22"/>
          <w:szCs w:val="22"/>
          <w:lang w:val="en-ZA"/>
        </w:rPr>
        <w:t xml:space="preserve">Response: </w:t>
      </w:r>
      <w:r w:rsidRPr="003F111D">
        <w:rPr>
          <w:rFonts w:ascii="Arial"/>
          <w:sz w:val="22"/>
          <w:szCs w:val="22"/>
          <w:u w:val="single"/>
          <w:lang w:val="en-ZA"/>
        </w:rPr>
        <w:t>Noted</w:t>
      </w:r>
      <w:r w:rsidRPr="003F111D">
        <w:rPr>
          <w:rFonts w:ascii="Arial"/>
          <w:sz w:val="22"/>
          <w:szCs w:val="22"/>
          <w:lang w:val="en-ZA"/>
        </w:rPr>
        <w:t>. The National Treasury will continue to engage with SARS on its funding challenges. An additional amount of R500 million per year over the 2023 MTEF period was added to SARS</w:t>
      </w:r>
      <w:r w:rsidRPr="003F111D">
        <w:rPr>
          <w:rFonts w:ascii="Arial"/>
          <w:sz w:val="22"/>
          <w:szCs w:val="22"/>
          <w:lang w:val="en-ZA"/>
        </w:rPr>
        <w:t>’</w:t>
      </w:r>
      <w:r w:rsidRPr="003F111D">
        <w:rPr>
          <w:rFonts w:ascii="Arial"/>
          <w:sz w:val="22"/>
          <w:szCs w:val="22"/>
          <w:lang w:val="en-ZA"/>
        </w:rPr>
        <w:t xml:space="preserve"> budget to fund its capital and information and communications technology projects. In addition, R1 billion was provided to SARS during the 2023 adjustments budget process to improve its revenue-raising capabilities. A further R1 billion per year in 2024/25 and 2025/26 is allocated to SARS depending on its ability to meet the set conditions.</w:t>
      </w:r>
    </w:p>
    <w:p w14:paraId="6130098F" w14:textId="04B47D5A" w:rsidR="00375F5E" w:rsidRPr="003F111D" w:rsidRDefault="00375F5E" w:rsidP="00403DF5">
      <w:pPr>
        <w:pStyle w:val="BodyText"/>
        <w:spacing w:line="271" w:lineRule="auto"/>
        <w:ind w:left="831" w:right="152"/>
        <w:jc w:val="both"/>
      </w:pPr>
    </w:p>
    <w:p w14:paraId="315488BC" w14:textId="25302F98" w:rsidR="67574395" w:rsidRPr="00403DF5" w:rsidRDefault="67574395" w:rsidP="5BCFEF27">
      <w:pPr>
        <w:pStyle w:val="Heading3"/>
        <w:numPr>
          <w:ilvl w:val="1"/>
          <w:numId w:val="37"/>
        </w:numPr>
        <w:tabs>
          <w:tab w:val="left" w:pos="961"/>
        </w:tabs>
        <w:spacing w:before="151"/>
        <w:rPr>
          <w:sz w:val="22"/>
          <w:szCs w:val="22"/>
          <w:lang w:val="en-ZA"/>
        </w:rPr>
      </w:pPr>
      <w:bookmarkStart w:id="37" w:name="_Toc189212099"/>
      <w:r w:rsidRPr="00403DF5">
        <w:rPr>
          <w:sz w:val="22"/>
          <w:szCs w:val="22"/>
          <w:lang w:val="en-ZA"/>
        </w:rPr>
        <w:t>Other Administrative matters</w:t>
      </w:r>
      <w:bookmarkEnd w:id="37"/>
    </w:p>
    <w:p w14:paraId="45C24544" w14:textId="1D700CEF" w:rsidR="5BCFEF27" w:rsidRPr="00EB4FA2" w:rsidRDefault="5BCFEF27" w:rsidP="5BCFEF27">
      <w:pPr>
        <w:pStyle w:val="ListParagraph"/>
        <w:spacing w:before="0" w:line="276" w:lineRule="auto"/>
        <w:ind w:left="1080"/>
        <w:jc w:val="both"/>
        <w:rPr>
          <w:b/>
          <w:bCs/>
          <w:i/>
          <w:iCs/>
          <w:lang w:val="en-ZA"/>
        </w:rPr>
      </w:pPr>
    </w:p>
    <w:p w14:paraId="118F0617" w14:textId="43E47AED" w:rsidR="67574395" w:rsidRPr="003F111D" w:rsidRDefault="67574395" w:rsidP="003F111D">
      <w:pPr>
        <w:pStyle w:val="BodyText"/>
        <w:spacing w:line="271" w:lineRule="auto"/>
        <w:ind w:left="492" w:right="153"/>
        <w:jc w:val="both"/>
        <w:rPr>
          <w:i/>
          <w:lang w:val="en-ZA"/>
        </w:rPr>
      </w:pPr>
      <w:r w:rsidRPr="003F111D">
        <w:rPr>
          <w:rFonts w:ascii="Arial" w:hAnsi="Arial" w:cs="Arial"/>
          <w:i/>
          <w:sz w:val="22"/>
          <w:szCs w:val="22"/>
          <w:lang w:val="en-ZA"/>
        </w:rPr>
        <w:t xml:space="preserve">Comment: </w:t>
      </w:r>
      <w:r w:rsidRPr="003F111D">
        <w:rPr>
          <w:rFonts w:ascii="Arial"/>
          <w:sz w:val="22"/>
          <w:szCs w:val="22"/>
          <w:lang w:val="en-ZA"/>
        </w:rPr>
        <w:t>Unlike other tax increases proposed by the Minister during the budget speech, the excise increase is final and effective immediately (i.e. at 14:00 on the day that the budget is read) and without prior consultation. The impact of this approach for large businesses is significant, considering the complexity and scale of operations which spans all alcohol categories with different production lines and schedules. Also, the administrative impact and burden on smaller businesses and craft producers in the spirits, wine and beer industry is unnecessarily disruptive and possibly more severe for other reasons</w:t>
      </w:r>
      <w:r w:rsidRPr="003F111D">
        <w:rPr>
          <w:rFonts w:ascii="Arial" w:hAnsi="Arial" w:cs="Arial"/>
          <w:i/>
          <w:sz w:val="22"/>
          <w:szCs w:val="22"/>
          <w:lang w:val="en-ZA"/>
        </w:rPr>
        <w:t xml:space="preserve">. </w:t>
      </w:r>
    </w:p>
    <w:p w14:paraId="3CFC5577" w14:textId="0ACC4324" w:rsidR="67574395" w:rsidRPr="003F111D" w:rsidRDefault="67574395" w:rsidP="5BCFEF27">
      <w:pPr>
        <w:spacing w:line="276" w:lineRule="auto"/>
        <w:jc w:val="both"/>
        <w:rPr>
          <w:rFonts w:ascii="Arial"/>
        </w:rPr>
      </w:pPr>
    </w:p>
    <w:p w14:paraId="2918C111" w14:textId="593865F6" w:rsidR="67574395" w:rsidRPr="003F111D" w:rsidRDefault="67574395" w:rsidP="003F111D">
      <w:pPr>
        <w:pStyle w:val="BodyText"/>
        <w:spacing w:line="271" w:lineRule="auto"/>
        <w:ind w:left="492" w:right="153"/>
        <w:jc w:val="both"/>
        <w:rPr>
          <w:rFonts w:ascii="Arial" w:hAnsi="Arial" w:cs="Arial"/>
          <w:i/>
        </w:rPr>
      </w:pPr>
      <w:r w:rsidRPr="003F111D">
        <w:rPr>
          <w:rFonts w:ascii="Arial"/>
          <w:sz w:val="22"/>
          <w:szCs w:val="22"/>
          <w:lang w:val="en-ZA"/>
        </w:rPr>
        <w:t>In terms of section 58(1) of the Customs and Excise Act the annual increases in excise duty rates at the time of the Budget currently take effect at the moment the Minister of Finance tables the Budget documentation containing the tax proposals in Parliament. It is required that all excise accounts for February must be closed at the time the new rates are tabled. This means that our business must put in</w:t>
      </w:r>
      <w:r w:rsidR="0801EC6F" w:rsidRPr="003F111D">
        <w:rPr>
          <w:rFonts w:ascii="Arial"/>
          <w:sz w:val="22"/>
          <w:szCs w:val="22"/>
          <w:lang w:val="en-ZA"/>
        </w:rPr>
        <w:t xml:space="preserve"> </w:t>
      </w:r>
      <w:r w:rsidRPr="003F111D">
        <w:rPr>
          <w:rFonts w:ascii="Arial"/>
          <w:sz w:val="22"/>
          <w:szCs w:val="22"/>
          <w:lang w:val="en-ZA"/>
        </w:rPr>
        <w:t>place processes that will ensure there is proper accounting at the time of the change. We put forth that the immediate application of the Budget increases in excise duty rates creates compliance complexities for taxpayers and poses administrative challenges for SARS. In this light we have suggested that the effective date of the excise increase be at the beginning at the beginning of the new fiscal calendar</w:t>
      </w:r>
      <w:r w:rsidRPr="003F111D">
        <w:rPr>
          <w:rFonts w:ascii="Arial" w:hAnsi="Arial" w:cs="Arial"/>
          <w:i/>
          <w:sz w:val="22"/>
          <w:szCs w:val="22"/>
          <w:lang w:val="en-ZA"/>
        </w:rPr>
        <w:t>.</w:t>
      </w:r>
    </w:p>
    <w:p w14:paraId="768AA1D6" w14:textId="732AFE4F" w:rsidR="67574395" w:rsidRPr="00EB4FA2" w:rsidRDefault="67574395" w:rsidP="5BCFEF27">
      <w:pPr>
        <w:spacing w:line="276" w:lineRule="auto"/>
        <w:jc w:val="both"/>
        <w:rPr>
          <w:rFonts w:ascii="Arial" w:eastAsia="Arial" w:hAnsi="Arial" w:cs="Arial"/>
          <w:i/>
          <w:iCs/>
        </w:rPr>
      </w:pPr>
      <w:r w:rsidRPr="00EB4FA2">
        <w:rPr>
          <w:rFonts w:ascii="Arial" w:eastAsia="Arial" w:hAnsi="Arial" w:cs="Arial"/>
          <w:i/>
          <w:iCs/>
        </w:rPr>
        <w:t xml:space="preserve"> </w:t>
      </w:r>
    </w:p>
    <w:p w14:paraId="656278A1" w14:textId="5660F027" w:rsidR="67574395" w:rsidRPr="003F111D" w:rsidRDefault="67574395" w:rsidP="003F111D">
      <w:pPr>
        <w:pStyle w:val="BodyText"/>
        <w:spacing w:line="271" w:lineRule="auto"/>
        <w:ind w:left="831" w:right="152"/>
        <w:jc w:val="both"/>
        <w:rPr>
          <w:rFonts w:ascii="Arial"/>
        </w:rPr>
      </w:pPr>
      <w:r w:rsidRPr="003F111D">
        <w:rPr>
          <w:rFonts w:ascii="Arial" w:hAnsi="Arial" w:cs="Arial"/>
          <w:i/>
          <w:sz w:val="22"/>
          <w:szCs w:val="22"/>
          <w:lang w:val="en-ZA"/>
        </w:rPr>
        <w:t xml:space="preserve">Response: </w:t>
      </w:r>
      <w:r w:rsidRPr="003F111D">
        <w:rPr>
          <w:rFonts w:ascii="Arial"/>
          <w:sz w:val="22"/>
          <w:szCs w:val="22"/>
          <w:u w:val="single"/>
          <w:lang w:val="en-ZA"/>
        </w:rPr>
        <w:t>Noted</w:t>
      </w:r>
      <w:r w:rsidRPr="003F111D">
        <w:rPr>
          <w:rFonts w:ascii="Arial"/>
          <w:sz w:val="22"/>
          <w:szCs w:val="22"/>
          <w:lang w:val="en-ZA"/>
        </w:rPr>
        <w:t>. National Treasury is considering the proposal and once a decision has been made it will be communicated to all the stakeholders.</w:t>
      </w:r>
    </w:p>
    <w:p w14:paraId="4D73DDB9" w14:textId="632B7B01" w:rsidR="5BCFEF27" w:rsidRPr="00EB4FA2" w:rsidRDefault="5BCFEF27" w:rsidP="5BCFEF27">
      <w:pPr>
        <w:spacing w:line="276" w:lineRule="auto"/>
        <w:ind w:left="1077"/>
        <w:jc w:val="both"/>
        <w:rPr>
          <w:rFonts w:ascii="Arial" w:eastAsia="Arial" w:hAnsi="Arial" w:cs="Arial"/>
          <w:i/>
          <w:iCs/>
        </w:rPr>
      </w:pPr>
    </w:p>
    <w:p w14:paraId="2C6D62F9" w14:textId="6BB5FF4E" w:rsidR="5BCFEF27" w:rsidRPr="00EB4FA2" w:rsidRDefault="00B700C9" w:rsidP="5BCFEF27">
      <w:pPr>
        <w:spacing w:line="276" w:lineRule="auto"/>
        <w:ind w:left="1077"/>
        <w:jc w:val="both"/>
        <w:rPr>
          <w:rFonts w:ascii="Arial" w:eastAsia="Arial" w:hAnsi="Arial" w:cs="Arial"/>
          <w:i/>
          <w:iCs/>
        </w:rPr>
      </w:pPr>
      <w:r w:rsidRPr="003F111D">
        <w:rPr>
          <w:noProof/>
        </w:rPr>
        <mc:AlternateContent>
          <mc:Choice Requires="wps">
            <w:drawing>
              <wp:anchor distT="0" distB="0" distL="0" distR="0" simplePos="0" relativeHeight="251658242" behindDoc="1" locked="0" layoutInCell="1" allowOverlap="1" wp14:anchorId="2AFD873B" wp14:editId="2A87CCD4">
                <wp:simplePos x="0" y="0"/>
                <wp:positionH relativeFrom="margin">
                  <wp:posOffset>1282700</wp:posOffset>
                </wp:positionH>
                <wp:positionV relativeFrom="paragraph">
                  <wp:posOffset>312420</wp:posOffset>
                </wp:positionV>
                <wp:extent cx="2927350" cy="45085"/>
                <wp:effectExtent l="0" t="0" r="0" b="0"/>
                <wp:wrapTopAndBottom/>
                <wp:docPr id="13418326" name="Freeform 7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927350" cy="45085"/>
                        </a:xfrm>
                        <a:custGeom>
                          <a:avLst/>
                          <a:gdLst>
                            <a:gd name="T0" fmla="+- 0 1874 1874"/>
                            <a:gd name="T1" fmla="*/ T0 w 3107"/>
                            <a:gd name="T2" fmla="+- 0 4981 1874"/>
                            <a:gd name="T3" fmla="*/ T2 w 3107"/>
                          </a:gdLst>
                          <a:ahLst/>
                          <a:cxnLst>
                            <a:cxn ang="0">
                              <a:pos x="T1" y="0"/>
                            </a:cxn>
                            <a:cxn ang="0">
                              <a:pos x="T3" y="0"/>
                            </a:cxn>
                          </a:cxnLst>
                          <a:rect l="0" t="0" r="r" b="b"/>
                          <a:pathLst>
                            <a:path w="3107">
                              <a:moveTo>
                                <a:pt x="0" y="0"/>
                              </a:moveTo>
                              <a:lnTo>
                                <a:pt x="3107" y="0"/>
                              </a:lnTo>
                            </a:path>
                          </a:pathLst>
                        </a:custGeom>
                        <a:noFill/>
                        <a:ln w="83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w14:anchorId="29FE45E1">
              <v:shape id="Freeform 755" style="position:absolute;margin-left:101pt;margin-top:24.6pt;width:230.5pt;height:3.55pt;flip:y;z-index:-25165823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coordsize="3107,45085" o:spid="_x0000_s1026" filled="f" strokeweight=".23158mm" path="m,l310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" w14:anchorId="390A4255">
                <v:path arrowok="t" o:connecttype="custom" o:connectlocs="0,0;2927350,0" o:connectangles="0,0"/>
                <w10:wrap type="topAndBottom" anchorx="margin"/>
              </v:shape>
            </w:pict>
          </mc:Fallback>
        </mc:AlternateContent>
      </w:r>
    </w:p>
    <w:p w14:paraId="73E91695" w14:textId="528CB59D" w:rsidR="00B700C9" w:rsidRPr="00B5565F" w:rsidRDefault="00B700C9" w:rsidP="00B5565F">
      <w:pPr>
        <w:pStyle w:val="BodyText"/>
        <w:tabs>
          <w:tab w:val="left" w:pos="961"/>
        </w:tabs>
        <w:spacing w:before="151" w:line="271" w:lineRule="auto"/>
        <w:rPr>
          <w:sz w:val="10"/>
          <w:szCs w:val="10"/>
        </w:rPr>
        <w:sectPr w:rsidR="00B700C9" w:rsidRPr="00B5565F">
          <w:pgSz w:w="12240" w:h="15840"/>
          <w:pgMar w:top="1280" w:right="1720" w:bottom="1080" w:left="1720" w:header="0" w:footer="891" w:gutter="0"/>
          <w:cols w:space="720"/>
        </w:sectPr>
      </w:pPr>
    </w:p>
    <w:p w14:paraId="7000C648" w14:textId="38B49444" w:rsidR="00375F5E" w:rsidRPr="00EB4FA2" w:rsidRDefault="00F10201" w:rsidP="003F111D">
      <w:pPr>
        <w:pStyle w:val="4Comment"/>
        <w:jc w:val="center"/>
      </w:pPr>
      <w:r w:rsidRPr="00EB4FA2">
        <w:rPr>
          <w:b/>
          <w:sz w:val="28"/>
          <w:szCs w:val="28"/>
        </w:rPr>
        <w:t>202</w:t>
      </w:r>
      <w:r w:rsidR="0000345D" w:rsidRPr="00EB4FA2">
        <w:rPr>
          <w:b/>
          <w:sz w:val="28"/>
          <w:szCs w:val="28"/>
        </w:rPr>
        <w:t>4</w:t>
      </w:r>
      <w:r w:rsidRPr="00EB4FA2">
        <w:rPr>
          <w:b/>
          <w:sz w:val="28"/>
          <w:szCs w:val="28"/>
        </w:rPr>
        <w:t xml:space="preserve"> Draft Taxation Laws Amendment Bill</w:t>
      </w:r>
    </w:p>
    <w:p w14:paraId="63AA407E" w14:textId="3FF5B423" w:rsidR="00375F5E" w:rsidRPr="00EB4FA2" w:rsidRDefault="454DE0F2" w:rsidP="003F111D">
      <w:pPr>
        <w:pStyle w:val="1Section"/>
        <w:numPr>
          <w:ilvl w:val="0"/>
          <w:numId w:val="37"/>
        </w:numPr>
        <w:spacing w:line="276" w:lineRule="auto"/>
        <w:ind w:left="450" w:hanging="360"/>
        <w:rPr>
          <w:szCs w:val="24"/>
        </w:rPr>
      </w:pPr>
      <w:bookmarkStart w:id="38" w:name="_TOC_250034"/>
      <w:bookmarkStart w:id="39" w:name="_Toc189212100"/>
      <w:r w:rsidRPr="00EB4FA2">
        <w:t xml:space="preserve">CARBON </w:t>
      </w:r>
      <w:bookmarkEnd w:id="38"/>
      <w:r w:rsidRPr="00EB4FA2">
        <w:t>TAX</w:t>
      </w:r>
      <w:bookmarkEnd w:id="39"/>
    </w:p>
    <w:p w14:paraId="0FC997D4" w14:textId="41845364" w:rsidR="404ACD2F" w:rsidRPr="003F111D" w:rsidRDefault="404ACD2F" w:rsidP="003F111D">
      <w:pPr>
        <w:pStyle w:val="Heading3"/>
        <w:numPr>
          <w:ilvl w:val="1"/>
          <w:numId w:val="37"/>
        </w:numPr>
        <w:tabs>
          <w:tab w:val="left" w:pos="961"/>
        </w:tabs>
        <w:spacing w:before="159"/>
        <w:rPr>
          <w:sz w:val="22"/>
          <w:szCs w:val="22"/>
          <w:lang w:val="en-ZA"/>
        </w:rPr>
      </w:pPr>
      <w:bookmarkStart w:id="40" w:name="_Toc189212101"/>
      <w:r w:rsidRPr="003F111D">
        <w:rPr>
          <w:sz w:val="22"/>
          <w:szCs w:val="22"/>
          <w:lang w:val="en-ZA"/>
        </w:rPr>
        <w:t>Renewable energy premium deduction</w:t>
      </w:r>
      <w:bookmarkEnd w:id="40"/>
    </w:p>
    <w:p w14:paraId="463F397A" w14:textId="028D608E" w:rsidR="037467E2" w:rsidRPr="003F111D" w:rsidRDefault="037467E2" w:rsidP="003F111D">
      <w:pPr>
        <w:pStyle w:val="BodyText"/>
        <w:spacing w:before="167"/>
        <w:ind w:left="492" w:right="196"/>
        <w:jc w:val="both"/>
        <w:rPr>
          <w:rFonts w:ascii="Arial" w:hAnsi="Arial" w:cs="Arial"/>
          <w:sz w:val="22"/>
          <w:szCs w:val="22"/>
          <w:lang w:val="en-ZA"/>
        </w:rPr>
      </w:pPr>
      <w:r w:rsidRPr="003F111D">
        <w:rPr>
          <w:rFonts w:ascii="Arial" w:hAnsi="Arial" w:cs="Arial"/>
          <w:sz w:val="22"/>
          <w:szCs w:val="22"/>
          <w:lang w:val="en-ZA"/>
        </w:rPr>
        <w:t>(Main reference: Section 6 of the Carbon Tax Act: Clause 63 of the Draft TLAB)</w:t>
      </w:r>
    </w:p>
    <w:p w14:paraId="46A1C118" w14:textId="77777777" w:rsidR="251BE3F0" w:rsidRPr="003F111D" w:rsidRDefault="251BE3F0" w:rsidP="0000345D">
      <w:pPr>
        <w:pStyle w:val="BodyText"/>
        <w:ind w:left="720"/>
        <w:rPr>
          <w:rFonts w:ascii="Arial"/>
          <w:b/>
          <w:bCs/>
          <w:sz w:val="24"/>
          <w:szCs w:val="24"/>
          <w:lang w:val="en-ZA"/>
        </w:rPr>
      </w:pPr>
    </w:p>
    <w:p w14:paraId="498C73FE" w14:textId="1AF053F6" w:rsidR="1DC420D9" w:rsidRPr="003F111D" w:rsidRDefault="1DC420D9" w:rsidP="003F111D">
      <w:pPr>
        <w:pStyle w:val="BodyText"/>
        <w:spacing w:before="1" w:line="271" w:lineRule="auto"/>
        <w:ind w:left="492" w:right="152"/>
        <w:jc w:val="both"/>
        <w:rPr>
          <w:rFonts w:ascii="Arial" w:hAnsi="Arial" w:cs="Arial"/>
          <w:iCs/>
          <w:sz w:val="22"/>
          <w:szCs w:val="22"/>
          <w:lang w:val="en-ZA"/>
        </w:rPr>
      </w:pPr>
      <w:r w:rsidRPr="003F111D">
        <w:rPr>
          <w:rFonts w:ascii="Arial" w:hAnsi="Arial" w:cs="Arial"/>
          <w:iCs/>
          <w:sz w:val="22"/>
          <w:szCs w:val="22"/>
          <w:lang w:val="en-ZA"/>
        </w:rPr>
        <w:t>Electricity generators including state-owned entities claim the renewable energy premium deduction for renewable energy purchased under power purchase agreements (PPAs) concluded as part of the Renewable Energy Independent Power Producer Procurement Programme and with private producers. As the generation, transmission and distribution functions of Eskom are separated, the power purchase agreements will be transferred to the National Transmission Company of South Africa when it commences operations.</w:t>
      </w:r>
      <w:r w:rsidR="341AF00D" w:rsidRPr="003F111D">
        <w:rPr>
          <w:rFonts w:ascii="Arial" w:hAnsi="Arial" w:cs="Arial"/>
          <w:iCs/>
          <w:sz w:val="22"/>
          <w:szCs w:val="22"/>
          <w:lang w:val="en-ZA"/>
        </w:rPr>
        <w:t xml:space="preserve"> However, the carbon tax liability arising from greenhouse gas emissions in category 1A1a will remain with the generation function of the state-owned entity.</w:t>
      </w:r>
      <w:r w:rsidR="3EE6DA83" w:rsidRPr="003F111D">
        <w:rPr>
          <w:rFonts w:ascii="Arial" w:hAnsi="Arial" w:cs="Arial"/>
          <w:iCs/>
          <w:sz w:val="22"/>
          <w:szCs w:val="22"/>
          <w:lang w:val="en-ZA"/>
        </w:rPr>
        <w:t xml:space="preserve"> </w:t>
      </w:r>
    </w:p>
    <w:p w14:paraId="21916825" w14:textId="3AE2D9A0" w:rsidR="251BE3F0" w:rsidRPr="003F111D" w:rsidRDefault="251BE3F0" w:rsidP="251BE3F0">
      <w:pPr>
        <w:pStyle w:val="BodyText"/>
        <w:ind w:left="720"/>
        <w:jc w:val="both"/>
        <w:rPr>
          <w:rFonts w:ascii="Arial"/>
          <w:lang w:val="en-ZA"/>
        </w:rPr>
      </w:pPr>
    </w:p>
    <w:p w14:paraId="21CC1394" w14:textId="54F22245" w:rsidR="341AF00D" w:rsidRPr="003F111D" w:rsidRDefault="341AF00D" w:rsidP="003F111D">
      <w:pPr>
        <w:pStyle w:val="BodyText"/>
        <w:spacing w:before="1" w:line="271" w:lineRule="auto"/>
        <w:ind w:left="492" w:right="152"/>
        <w:jc w:val="both"/>
        <w:rPr>
          <w:rFonts w:ascii="Arial" w:hAnsi="Arial" w:cs="Arial"/>
          <w:iCs/>
          <w:sz w:val="22"/>
          <w:szCs w:val="22"/>
          <w:lang w:val="en-ZA"/>
        </w:rPr>
      </w:pPr>
      <w:r w:rsidRPr="003F111D">
        <w:rPr>
          <w:rFonts w:ascii="Arial" w:hAnsi="Arial" w:cs="Arial"/>
          <w:iCs/>
          <w:sz w:val="22"/>
          <w:szCs w:val="22"/>
          <w:lang w:val="en-ZA"/>
        </w:rPr>
        <w:t>It is proposed that the Carbon Tax Act be amended to allow electricity generators to continue to claim the renewable energy premium deduction for power purchase agreements ceded to the National Transmission Company of South Africa (NTCSA).</w:t>
      </w:r>
      <w:r w:rsidR="2BEAEBD0" w:rsidRPr="003F111D">
        <w:rPr>
          <w:rFonts w:ascii="Arial" w:hAnsi="Arial" w:cs="Arial"/>
          <w:iCs/>
          <w:sz w:val="22"/>
          <w:szCs w:val="22"/>
          <w:lang w:val="en-ZA"/>
        </w:rPr>
        <w:t xml:space="preserve"> </w:t>
      </w:r>
      <w:r w:rsidRPr="003F111D">
        <w:rPr>
          <w:rFonts w:ascii="Arial" w:hAnsi="Arial" w:cs="Arial"/>
          <w:iCs/>
          <w:sz w:val="22"/>
          <w:szCs w:val="22"/>
          <w:lang w:val="en-ZA"/>
        </w:rPr>
        <w:t>The Electricity Regulation Amendment Act was signed into law by the President on 30 August and provides for additional electricity, new generation capacity and electricity infrastructure. The proposed amendments will ensure that both Eskom purchases of renewable energy in terms of legacy PPAs and direct new purchases of electricity through the transmission system or distributed generation (outside the grid) are eligible for the deduction from an equity perspective.</w:t>
      </w:r>
    </w:p>
    <w:p w14:paraId="696BABE4" w14:textId="46017D55" w:rsidR="251BE3F0" w:rsidRPr="003F111D" w:rsidRDefault="251BE3F0" w:rsidP="003F111D">
      <w:pPr>
        <w:pStyle w:val="BodyText"/>
        <w:jc w:val="both"/>
        <w:rPr>
          <w:rFonts w:ascii="Arial"/>
          <w:sz w:val="24"/>
          <w:szCs w:val="24"/>
          <w:lang w:val="en-ZA"/>
        </w:rPr>
      </w:pPr>
    </w:p>
    <w:p w14:paraId="6C4AA947" w14:textId="1156644C" w:rsidR="1A2F6B7D" w:rsidRPr="003F111D" w:rsidRDefault="1A2F6B7D" w:rsidP="003F111D">
      <w:pPr>
        <w:pStyle w:val="Heading3"/>
        <w:numPr>
          <w:ilvl w:val="1"/>
          <w:numId w:val="37"/>
        </w:numPr>
        <w:tabs>
          <w:tab w:val="left" w:pos="961"/>
        </w:tabs>
        <w:spacing w:before="159"/>
        <w:rPr>
          <w:sz w:val="22"/>
          <w:szCs w:val="22"/>
          <w:lang w:val="en-ZA"/>
        </w:rPr>
      </w:pPr>
      <w:bookmarkStart w:id="41" w:name="_Toc189212102"/>
      <w:r w:rsidRPr="003F111D">
        <w:rPr>
          <w:sz w:val="22"/>
          <w:szCs w:val="22"/>
          <w:lang w:val="en-ZA"/>
        </w:rPr>
        <w:t>Alignment of Fuel Combustion Emissions Factors and Net Calorific Values with Greenhouse Gas Emissions Methodological Guidelines</w:t>
      </w:r>
      <w:bookmarkEnd w:id="41"/>
      <w:r w:rsidRPr="003F111D">
        <w:rPr>
          <w:sz w:val="22"/>
          <w:szCs w:val="22"/>
          <w:lang w:val="en-ZA"/>
        </w:rPr>
        <w:t xml:space="preserve"> </w:t>
      </w:r>
    </w:p>
    <w:p w14:paraId="45248623" w14:textId="5C15468F" w:rsidR="1A2F6B7D" w:rsidRDefault="1A2F6B7D" w:rsidP="003F111D">
      <w:pPr>
        <w:pStyle w:val="BodyText"/>
        <w:spacing w:before="167"/>
        <w:ind w:left="492" w:right="196"/>
        <w:jc w:val="both"/>
        <w:rPr>
          <w:rFonts w:ascii="Arial" w:hAnsi="Arial" w:cs="Arial"/>
          <w:sz w:val="22"/>
          <w:szCs w:val="22"/>
          <w:lang w:val="en-ZA"/>
        </w:rPr>
      </w:pPr>
      <w:r w:rsidRPr="003F111D">
        <w:rPr>
          <w:rFonts w:ascii="Arial" w:hAnsi="Arial" w:cs="Arial"/>
          <w:sz w:val="22"/>
          <w:szCs w:val="22"/>
          <w:lang w:val="en-ZA"/>
        </w:rPr>
        <w:t>(Main reference: Schedule 1 of the Carbon Tax Act</w:t>
      </w:r>
      <w:r w:rsidR="7A746585" w:rsidRPr="003F111D">
        <w:rPr>
          <w:rFonts w:ascii="Arial" w:hAnsi="Arial" w:cs="Arial"/>
          <w:sz w:val="22"/>
          <w:szCs w:val="22"/>
          <w:lang w:val="en-ZA"/>
        </w:rPr>
        <w:t xml:space="preserve">: Clause 64 of the Draft TLAB) </w:t>
      </w:r>
    </w:p>
    <w:p w14:paraId="65806E3C" w14:textId="77777777" w:rsidR="0082097B" w:rsidRPr="003F111D" w:rsidRDefault="0082097B" w:rsidP="003F111D">
      <w:pPr>
        <w:pStyle w:val="BodyText"/>
        <w:spacing w:before="167"/>
        <w:ind w:left="492" w:right="196"/>
        <w:jc w:val="both"/>
        <w:rPr>
          <w:rFonts w:ascii="Arial" w:hAnsi="Arial" w:cs="Arial"/>
          <w:sz w:val="22"/>
          <w:szCs w:val="22"/>
          <w:lang w:val="en-ZA"/>
        </w:rPr>
      </w:pPr>
    </w:p>
    <w:p w14:paraId="101CF718" w14:textId="1B642983" w:rsidR="0BA4A68E" w:rsidRDefault="0BA4A68E" w:rsidP="0082097B">
      <w:pPr>
        <w:pStyle w:val="BodyText"/>
        <w:spacing w:before="1" w:line="271" w:lineRule="auto"/>
        <w:ind w:left="492" w:right="152"/>
        <w:jc w:val="both"/>
        <w:rPr>
          <w:rFonts w:ascii="Arial" w:hAnsi="Arial" w:cs="Arial"/>
          <w:iCs/>
          <w:sz w:val="22"/>
          <w:szCs w:val="22"/>
          <w:lang w:val="en-ZA"/>
        </w:rPr>
      </w:pPr>
      <w:r w:rsidRPr="00403DF5">
        <w:rPr>
          <w:rFonts w:ascii="Arial" w:hAnsi="Arial" w:cs="Arial"/>
          <w:iCs/>
          <w:sz w:val="22"/>
          <w:szCs w:val="22"/>
          <w:lang w:val="en-ZA"/>
        </w:rPr>
        <w:t xml:space="preserve">Schedule 1 of the Carbon Tax Act sets out the factors for fuel combustion (stationary and non-stationary), fugitive and industrial process emissions. The emission factors and net caloric values are used to calculate the total emissions for a company for different activities under Section 4 of the Carbon Tax Act. The tax base of the Carbon Tax Act is greenhouse gas emissions reported to the Department of Forestry, Fisheries and the Environment (DFFE). The emissions are reported according to the 2016 National Greenhouse Gas Emission Reporting Regulations, which were gazetted in terms of the National Environmental Management: Air Quality Act, No.39 of 2004. </w:t>
      </w:r>
    </w:p>
    <w:p w14:paraId="6ACF1563" w14:textId="77777777" w:rsidR="0082097B" w:rsidRPr="00403DF5" w:rsidRDefault="0082097B" w:rsidP="00403DF5">
      <w:pPr>
        <w:pStyle w:val="BodyText"/>
        <w:spacing w:before="1" w:line="271" w:lineRule="auto"/>
        <w:ind w:left="492" w:right="152"/>
        <w:jc w:val="both"/>
        <w:rPr>
          <w:rFonts w:ascii="Arial" w:hAnsi="Arial" w:cs="Arial"/>
          <w:iCs/>
          <w:sz w:val="22"/>
          <w:szCs w:val="22"/>
          <w:lang w:val="en-ZA"/>
        </w:rPr>
      </w:pPr>
    </w:p>
    <w:p w14:paraId="72917BC0" w14:textId="29D1C55A" w:rsidR="0BA4A68E" w:rsidRDefault="0BA4A68E" w:rsidP="0082097B">
      <w:pPr>
        <w:pStyle w:val="BodyText"/>
        <w:spacing w:before="1" w:line="271" w:lineRule="auto"/>
        <w:ind w:left="492" w:right="152"/>
        <w:jc w:val="both"/>
        <w:rPr>
          <w:rFonts w:ascii="Arial" w:hAnsi="Arial" w:cs="Arial"/>
          <w:iCs/>
          <w:sz w:val="22"/>
          <w:szCs w:val="22"/>
          <w:lang w:val="en-ZA"/>
        </w:rPr>
      </w:pPr>
      <w:r w:rsidRPr="00403DF5">
        <w:rPr>
          <w:rFonts w:ascii="Arial" w:hAnsi="Arial" w:cs="Arial"/>
          <w:iCs/>
          <w:sz w:val="22"/>
          <w:szCs w:val="22"/>
          <w:lang w:val="en-ZA"/>
        </w:rPr>
        <w:t>Schedule 1 of the Carbon Tax Act is aligned with the emission factor tables contained in Annexures of the DFFE’s Methodological Guidelines for Quantification of Greenhouse Gas Emissions (the Methodological Guidelines). In October 2022, the DFFE gazetted the Amended Methodological Guideline for Quantification of Greenhouse Gas Emissions. The 2022 Technical Guidelines included updated tables on the country specific carbon dioxide emission factors for stationary and non-stationary combustion emissions. This was based on studies conducted by the DFFE in 2021/22 on Liquid Fuels and Gas and Cement.</w:t>
      </w:r>
    </w:p>
    <w:p w14:paraId="288746B7" w14:textId="77777777" w:rsidR="0082097B" w:rsidRPr="00403DF5" w:rsidRDefault="0082097B" w:rsidP="00403DF5">
      <w:pPr>
        <w:pStyle w:val="BodyText"/>
        <w:spacing w:before="1" w:line="271" w:lineRule="auto"/>
        <w:ind w:left="492" w:right="152"/>
        <w:jc w:val="both"/>
        <w:rPr>
          <w:rFonts w:ascii="Arial" w:hAnsi="Arial" w:cs="Arial"/>
          <w:iCs/>
          <w:sz w:val="22"/>
          <w:szCs w:val="22"/>
          <w:lang w:val="en-ZA"/>
        </w:rPr>
      </w:pPr>
    </w:p>
    <w:p w14:paraId="09854143" w14:textId="77777777" w:rsidR="0082097B" w:rsidRDefault="0BA4A68E" w:rsidP="0082097B">
      <w:pPr>
        <w:pStyle w:val="BodyText"/>
        <w:spacing w:before="1" w:line="271" w:lineRule="auto"/>
        <w:ind w:left="492" w:right="152"/>
        <w:jc w:val="both"/>
        <w:rPr>
          <w:rFonts w:ascii="Arial" w:hAnsi="Arial" w:cs="Arial"/>
          <w:iCs/>
          <w:sz w:val="22"/>
          <w:szCs w:val="22"/>
          <w:lang w:val="en-ZA"/>
        </w:rPr>
      </w:pPr>
      <w:r w:rsidRPr="00403DF5">
        <w:rPr>
          <w:rFonts w:ascii="Arial" w:hAnsi="Arial" w:cs="Arial"/>
          <w:iCs/>
          <w:sz w:val="22"/>
          <w:szCs w:val="22"/>
          <w:lang w:val="en-ZA"/>
        </w:rPr>
        <w:t>In Budget 2023, amendments were proposed to Schedule 1 to include new tables on the country specific CO2 emissions. The tables which were included in the Taxation Laws Amendment Bill of 2023 were withdrawn after public consultation on the TLAB to allow for further consultations with DFFE on the application of the tier 2 emission factors and determination of the appropriate net calorific values to be used for the different fuel types for calculation of greenhouse gas emissions.</w:t>
      </w:r>
    </w:p>
    <w:p w14:paraId="558315CD" w14:textId="70BC7945" w:rsidR="0BA4A68E" w:rsidRPr="00403DF5" w:rsidRDefault="0BA4A68E" w:rsidP="00403DF5">
      <w:pPr>
        <w:pStyle w:val="BodyText"/>
        <w:spacing w:before="1" w:line="271" w:lineRule="auto"/>
        <w:ind w:left="492" w:right="152"/>
        <w:jc w:val="both"/>
        <w:rPr>
          <w:rFonts w:ascii="Arial" w:hAnsi="Arial" w:cs="Arial"/>
          <w:iCs/>
          <w:sz w:val="22"/>
          <w:szCs w:val="22"/>
          <w:lang w:val="en-ZA"/>
        </w:rPr>
      </w:pPr>
      <w:r w:rsidRPr="00403DF5">
        <w:rPr>
          <w:rFonts w:ascii="Arial" w:hAnsi="Arial" w:cs="Arial"/>
          <w:iCs/>
          <w:sz w:val="22"/>
          <w:szCs w:val="22"/>
          <w:lang w:val="en-ZA"/>
        </w:rPr>
        <w:t xml:space="preserve"> </w:t>
      </w:r>
    </w:p>
    <w:p w14:paraId="3486450C" w14:textId="77777777" w:rsidR="0082097B" w:rsidRDefault="0BA4A68E" w:rsidP="0082097B">
      <w:pPr>
        <w:pStyle w:val="BodyText"/>
        <w:spacing w:before="1" w:line="271" w:lineRule="auto"/>
        <w:ind w:left="492" w:right="152"/>
        <w:jc w:val="both"/>
        <w:rPr>
          <w:rFonts w:ascii="Arial" w:hAnsi="Arial" w:cs="Arial"/>
          <w:iCs/>
          <w:sz w:val="22"/>
          <w:szCs w:val="22"/>
          <w:lang w:val="en-ZA"/>
        </w:rPr>
      </w:pPr>
      <w:r w:rsidRPr="00403DF5">
        <w:rPr>
          <w:rFonts w:ascii="Arial" w:hAnsi="Arial" w:cs="Arial"/>
          <w:iCs/>
          <w:sz w:val="22"/>
          <w:szCs w:val="22"/>
          <w:lang w:val="en-ZA"/>
        </w:rPr>
        <w:t xml:space="preserve">To ensure alignment between the Carbon Tax Act (2019) and the DFFE’s Methodological Guidelines, changes to the carbon dioxide emission factors and net calorific values for the relevant fuel types are necessary, as announced in the 2023 Budget. Updates to the schedule 1 fuel combustion emissions factors and net calorific values and additional of new fuel types are necessary. </w:t>
      </w:r>
    </w:p>
    <w:p w14:paraId="70620491" w14:textId="414CA5ED" w:rsidR="0BA4A68E" w:rsidRPr="00403DF5" w:rsidRDefault="0BA4A68E" w:rsidP="00403DF5">
      <w:pPr>
        <w:pStyle w:val="BodyText"/>
        <w:spacing w:before="1" w:line="271" w:lineRule="auto"/>
        <w:ind w:left="492" w:right="152"/>
        <w:jc w:val="both"/>
        <w:rPr>
          <w:rFonts w:ascii="Arial" w:hAnsi="Arial" w:cs="Arial"/>
          <w:iCs/>
          <w:sz w:val="22"/>
          <w:szCs w:val="22"/>
          <w:lang w:val="en-ZA"/>
        </w:rPr>
      </w:pPr>
      <w:r w:rsidRPr="00403DF5">
        <w:rPr>
          <w:rFonts w:ascii="Arial" w:hAnsi="Arial" w:cs="Arial"/>
          <w:iCs/>
          <w:sz w:val="22"/>
          <w:szCs w:val="22"/>
          <w:lang w:val="en-ZA"/>
        </w:rPr>
        <w:t xml:space="preserve"> </w:t>
      </w:r>
    </w:p>
    <w:p w14:paraId="50F8BC7B" w14:textId="2353354A" w:rsidR="229EBAC8" w:rsidRPr="00403DF5" w:rsidRDefault="229EBAC8" w:rsidP="00403DF5">
      <w:pPr>
        <w:pStyle w:val="BodyText"/>
        <w:spacing w:before="1" w:line="271" w:lineRule="auto"/>
        <w:ind w:left="492" w:right="152"/>
        <w:jc w:val="both"/>
        <w:rPr>
          <w:rFonts w:ascii="Arial" w:hAnsi="Arial" w:cs="Arial"/>
          <w:iCs/>
          <w:sz w:val="22"/>
          <w:szCs w:val="22"/>
          <w:lang w:val="en-ZA"/>
        </w:rPr>
      </w:pPr>
      <w:r w:rsidRPr="00403DF5">
        <w:rPr>
          <w:rFonts w:ascii="Arial" w:hAnsi="Arial" w:cs="Arial"/>
          <w:iCs/>
          <w:sz w:val="22"/>
          <w:szCs w:val="22"/>
          <w:lang w:val="en-ZA"/>
        </w:rPr>
        <w:t>It is proposed that the Schedule 1 fuel combustion emissions factors and net calorific values are updated, and new fuel types added.</w:t>
      </w:r>
    </w:p>
    <w:p w14:paraId="1A31D191" w14:textId="5096B83F" w:rsidR="251BE3F0" w:rsidRPr="003F111D" w:rsidRDefault="251BE3F0" w:rsidP="251BE3F0">
      <w:pPr>
        <w:pStyle w:val="BodyText"/>
        <w:spacing w:before="164"/>
        <w:jc w:val="both"/>
        <w:rPr>
          <w:rFonts w:ascii="Aptos" w:eastAsia="Aptos" w:hAnsi="Aptos" w:cs="Aptos"/>
          <w:sz w:val="22"/>
          <w:szCs w:val="22"/>
          <w:lang w:val="en-ZA"/>
        </w:rPr>
      </w:pPr>
    </w:p>
    <w:p w14:paraId="4EEA2496" w14:textId="42334593" w:rsidR="7F7F5785" w:rsidRPr="003F111D" w:rsidRDefault="7F7F5785" w:rsidP="003F111D">
      <w:pPr>
        <w:pStyle w:val="BodyText"/>
        <w:spacing w:line="271" w:lineRule="auto"/>
        <w:ind w:left="492" w:right="153"/>
        <w:jc w:val="both"/>
        <w:rPr>
          <w:rFonts w:ascii="Arial" w:hAnsi="Arial" w:cs="Arial"/>
          <w:i/>
          <w:sz w:val="22"/>
          <w:szCs w:val="22"/>
          <w:lang w:val="en-ZA"/>
        </w:rPr>
      </w:pPr>
      <w:r w:rsidRPr="003F111D">
        <w:rPr>
          <w:rFonts w:ascii="Arial" w:hAnsi="Arial" w:cs="Arial"/>
          <w:i/>
          <w:sz w:val="22"/>
          <w:szCs w:val="22"/>
          <w:lang w:val="en-ZA"/>
        </w:rPr>
        <w:t>Comment:</w:t>
      </w:r>
      <w:r w:rsidR="270C7491" w:rsidRPr="003F111D">
        <w:rPr>
          <w:rFonts w:ascii="Arial" w:hAnsi="Arial" w:cs="Arial"/>
          <w:i/>
          <w:sz w:val="22"/>
          <w:szCs w:val="22"/>
          <w:lang w:val="en-ZA"/>
        </w:rPr>
        <w:t xml:space="preserve"> </w:t>
      </w:r>
      <w:r w:rsidR="3068C641" w:rsidRPr="00403DF5">
        <w:rPr>
          <w:rFonts w:ascii="Arial" w:hAnsi="Arial" w:cs="Arial"/>
          <w:iCs/>
          <w:sz w:val="22"/>
          <w:szCs w:val="22"/>
          <w:lang w:val="en-ZA"/>
        </w:rPr>
        <w:t xml:space="preserve">The </w:t>
      </w:r>
      <w:r w:rsidR="6879E147" w:rsidRPr="00403DF5">
        <w:rPr>
          <w:rFonts w:ascii="Arial" w:hAnsi="Arial" w:cs="Arial"/>
          <w:iCs/>
          <w:sz w:val="22"/>
          <w:szCs w:val="22"/>
          <w:lang w:val="en-ZA"/>
        </w:rPr>
        <w:t xml:space="preserve">upper and lower </w:t>
      </w:r>
      <w:r w:rsidR="3068C641" w:rsidRPr="00403DF5">
        <w:rPr>
          <w:rFonts w:ascii="Arial" w:hAnsi="Arial" w:cs="Arial"/>
          <w:iCs/>
          <w:sz w:val="22"/>
          <w:szCs w:val="22"/>
          <w:lang w:val="en-ZA"/>
        </w:rPr>
        <w:t xml:space="preserve">range to determine </w:t>
      </w:r>
      <w:r w:rsidR="586BD8FF" w:rsidRPr="00403DF5">
        <w:rPr>
          <w:rFonts w:ascii="Arial" w:hAnsi="Arial" w:cs="Arial"/>
          <w:iCs/>
          <w:sz w:val="22"/>
          <w:szCs w:val="22"/>
          <w:lang w:val="en-ZA"/>
        </w:rPr>
        <w:t xml:space="preserve">net caloric value </w:t>
      </w:r>
      <w:r w:rsidR="01690480" w:rsidRPr="00403DF5">
        <w:rPr>
          <w:rFonts w:ascii="Arial" w:hAnsi="Arial" w:cs="Arial"/>
          <w:iCs/>
          <w:sz w:val="22"/>
          <w:szCs w:val="22"/>
          <w:lang w:val="en-ZA"/>
        </w:rPr>
        <w:t>are removed. It is proposed that these values should be retained in the Carbon Tax Act so that the carbon taxpayer can use a calorific value for its fuel that is made available by its fuel supplier, provided it falls within the limits. This allows the carbon taxpayer to more accurately calculate its greenhouse gas emissions</w:t>
      </w:r>
      <w:r w:rsidR="0082097B">
        <w:rPr>
          <w:rFonts w:ascii="Arial" w:hAnsi="Arial" w:cs="Arial"/>
          <w:iCs/>
          <w:sz w:val="22"/>
          <w:szCs w:val="22"/>
          <w:lang w:val="en-ZA"/>
        </w:rPr>
        <w:t>.</w:t>
      </w:r>
    </w:p>
    <w:p w14:paraId="0D41F017" w14:textId="77777777" w:rsidR="00585987" w:rsidRPr="003F111D" w:rsidRDefault="00585987" w:rsidP="0000345D">
      <w:pPr>
        <w:spacing w:after="160" w:line="257" w:lineRule="auto"/>
        <w:ind w:left="1440"/>
        <w:jc w:val="both"/>
        <w:rPr>
          <w:sz w:val="21"/>
          <w:szCs w:val="21"/>
        </w:rPr>
      </w:pPr>
    </w:p>
    <w:p w14:paraId="1727C70E" w14:textId="1129D7A1" w:rsidR="7F7F5785" w:rsidRPr="003F111D" w:rsidRDefault="7F7F5785" w:rsidP="003F111D">
      <w:pPr>
        <w:pStyle w:val="BodyText"/>
        <w:spacing w:line="271" w:lineRule="auto"/>
        <w:ind w:left="831" w:right="152"/>
        <w:jc w:val="both"/>
        <w:rPr>
          <w:rFonts w:ascii="Arial" w:hAnsi="Arial" w:cs="Arial"/>
          <w:i/>
        </w:rPr>
      </w:pPr>
      <w:r w:rsidRPr="003F111D">
        <w:rPr>
          <w:rFonts w:ascii="Arial" w:hAnsi="Arial" w:cs="Arial"/>
          <w:i/>
          <w:sz w:val="22"/>
          <w:szCs w:val="22"/>
          <w:lang w:val="en-ZA"/>
        </w:rPr>
        <w:t>Response:</w:t>
      </w:r>
      <w:r w:rsidRPr="00403DF5">
        <w:rPr>
          <w:rFonts w:ascii="Arial" w:hAnsi="Arial" w:cs="Arial"/>
          <w:iCs/>
          <w:sz w:val="22"/>
          <w:szCs w:val="22"/>
          <w:lang w:val="en-ZA"/>
        </w:rPr>
        <w:t xml:space="preserve"> </w:t>
      </w:r>
      <w:r w:rsidR="302BC920" w:rsidRPr="00403DF5">
        <w:rPr>
          <w:rFonts w:ascii="Arial" w:hAnsi="Arial" w:cs="Arial"/>
          <w:iCs/>
          <w:sz w:val="22"/>
          <w:szCs w:val="22"/>
          <w:u w:val="single"/>
          <w:lang w:val="en-ZA"/>
        </w:rPr>
        <w:t>Accepted</w:t>
      </w:r>
      <w:r w:rsidR="302BC920" w:rsidRPr="00403DF5">
        <w:rPr>
          <w:rFonts w:ascii="Arial" w:hAnsi="Arial" w:cs="Arial"/>
          <w:iCs/>
          <w:sz w:val="22"/>
          <w:szCs w:val="22"/>
          <w:lang w:val="en-ZA"/>
        </w:rPr>
        <w:t xml:space="preserve">. </w:t>
      </w:r>
      <w:r w:rsidR="43D855F4" w:rsidRPr="00403DF5">
        <w:rPr>
          <w:rFonts w:ascii="Arial" w:hAnsi="Arial" w:cs="Arial"/>
          <w:iCs/>
          <w:sz w:val="22"/>
          <w:szCs w:val="22"/>
          <w:lang w:val="en-ZA"/>
        </w:rPr>
        <w:t xml:space="preserve">The range was </w:t>
      </w:r>
      <w:r w:rsidR="66E3DF50" w:rsidRPr="00403DF5">
        <w:rPr>
          <w:rFonts w:ascii="Arial" w:hAnsi="Arial" w:cs="Arial"/>
          <w:iCs/>
          <w:sz w:val="22"/>
          <w:szCs w:val="22"/>
          <w:lang w:val="en-ZA"/>
        </w:rPr>
        <w:t>included</w:t>
      </w:r>
      <w:r w:rsidR="43D855F4" w:rsidRPr="00403DF5">
        <w:rPr>
          <w:rFonts w:ascii="Arial" w:hAnsi="Arial" w:cs="Arial"/>
          <w:iCs/>
          <w:sz w:val="22"/>
          <w:szCs w:val="22"/>
          <w:lang w:val="en-ZA"/>
        </w:rPr>
        <w:t xml:space="preserve"> in </w:t>
      </w:r>
      <w:r w:rsidR="346EB024" w:rsidRPr="00403DF5">
        <w:rPr>
          <w:rFonts w:ascii="Arial" w:hAnsi="Arial" w:cs="Arial"/>
          <w:iCs/>
          <w:sz w:val="22"/>
          <w:szCs w:val="22"/>
          <w:lang w:val="en-ZA"/>
        </w:rPr>
        <w:t>Schedule</w:t>
      </w:r>
      <w:r w:rsidR="43D855F4" w:rsidRPr="00403DF5">
        <w:rPr>
          <w:rFonts w:ascii="Arial" w:hAnsi="Arial" w:cs="Arial"/>
          <w:iCs/>
          <w:sz w:val="22"/>
          <w:szCs w:val="22"/>
          <w:lang w:val="en-ZA"/>
        </w:rPr>
        <w:t xml:space="preserve"> 1 of the Act for tier 1 emission factors. </w:t>
      </w:r>
      <w:r w:rsidR="302BC920" w:rsidRPr="00403DF5">
        <w:rPr>
          <w:rFonts w:ascii="Arial" w:hAnsi="Arial" w:cs="Arial"/>
          <w:iCs/>
          <w:sz w:val="22"/>
          <w:szCs w:val="22"/>
          <w:lang w:val="en-ZA"/>
        </w:rPr>
        <w:t>Upon consultations with DFFE, the NCV range is applicable for tier 1 and 2 emission factors therefore the NCV ranges will be applied.</w:t>
      </w:r>
      <w:r w:rsidR="302BC920" w:rsidRPr="003F111D">
        <w:rPr>
          <w:rFonts w:ascii="Arial" w:hAnsi="Arial" w:cs="Arial"/>
          <w:i/>
          <w:sz w:val="22"/>
          <w:szCs w:val="22"/>
          <w:lang w:val="en-ZA"/>
        </w:rPr>
        <w:t xml:space="preserve">  </w:t>
      </w:r>
    </w:p>
    <w:p w14:paraId="1180EFA6" w14:textId="59010A88" w:rsidR="251BE3F0" w:rsidRPr="003F111D" w:rsidRDefault="251BE3F0" w:rsidP="0000345D">
      <w:pPr>
        <w:spacing w:after="160" w:line="257" w:lineRule="auto"/>
        <w:ind w:left="720"/>
        <w:rPr>
          <w:rFonts w:ascii="Aptos" w:eastAsia="Aptos" w:hAnsi="Aptos" w:cs="Aptos"/>
        </w:rPr>
      </w:pPr>
    </w:p>
    <w:p w14:paraId="4E944B5C" w14:textId="79D69E14" w:rsidR="437A8AFD" w:rsidRPr="003F111D" w:rsidRDefault="437A8AFD" w:rsidP="003F111D">
      <w:pPr>
        <w:pStyle w:val="BodyText"/>
        <w:spacing w:line="271" w:lineRule="auto"/>
        <w:ind w:left="492" w:right="153"/>
        <w:jc w:val="both"/>
        <w:rPr>
          <w:rFonts w:ascii="Arial" w:hAnsi="Arial" w:cs="Arial"/>
          <w:i/>
          <w:lang w:val="en-ZA"/>
        </w:rPr>
      </w:pPr>
      <w:r w:rsidRPr="003F111D">
        <w:rPr>
          <w:rFonts w:ascii="Arial" w:hAnsi="Arial" w:cs="Arial"/>
          <w:i/>
          <w:sz w:val="22"/>
          <w:szCs w:val="22"/>
          <w:lang w:val="en-ZA"/>
        </w:rPr>
        <w:t>Comment:</w:t>
      </w:r>
      <w:r w:rsidR="5B628E5A" w:rsidRPr="003F111D">
        <w:rPr>
          <w:rFonts w:ascii="Arial" w:hAnsi="Arial" w:cs="Arial"/>
          <w:i/>
          <w:sz w:val="22"/>
          <w:szCs w:val="22"/>
          <w:lang w:val="en-ZA"/>
        </w:rPr>
        <w:t xml:space="preserve"> </w:t>
      </w:r>
      <w:r w:rsidR="5B628E5A" w:rsidRPr="00403DF5">
        <w:rPr>
          <w:rFonts w:ascii="Arial" w:hAnsi="Arial" w:cs="Arial"/>
          <w:iCs/>
          <w:sz w:val="22"/>
          <w:szCs w:val="22"/>
          <w:lang w:val="en-ZA"/>
        </w:rPr>
        <w:t xml:space="preserve">The calorific value for </w:t>
      </w:r>
      <w:r w:rsidR="3BD9869F" w:rsidRPr="00403DF5">
        <w:rPr>
          <w:rFonts w:ascii="Arial" w:hAnsi="Arial" w:cs="Arial"/>
          <w:iCs/>
          <w:sz w:val="22"/>
          <w:szCs w:val="22"/>
          <w:lang w:val="en-ZA"/>
        </w:rPr>
        <w:t>other bituminous coal does not align with the South African Department of Forestry, Fisheries and Environment’s (DFFE’s) value. It is proposed that the value be in line with Coal General Purpose in Annexure D of DFFE’s Methodological Guidelines for the Quantification of Greenhouse Gas Emissions.</w:t>
      </w:r>
      <w:r w:rsidR="7C9C3C54" w:rsidRPr="003F111D">
        <w:rPr>
          <w:rFonts w:ascii="Arial" w:hAnsi="Arial" w:cs="Arial"/>
          <w:i/>
          <w:sz w:val="22"/>
          <w:szCs w:val="22"/>
          <w:lang w:val="en-ZA"/>
        </w:rPr>
        <w:t xml:space="preserve"> </w:t>
      </w:r>
    </w:p>
    <w:p w14:paraId="3A971F6A" w14:textId="405260D2" w:rsidR="251BE3F0" w:rsidRPr="003F111D" w:rsidRDefault="251BE3F0" w:rsidP="251BE3F0">
      <w:pPr>
        <w:spacing w:after="160" w:line="257" w:lineRule="auto"/>
        <w:ind w:left="720"/>
        <w:jc w:val="both"/>
        <w:rPr>
          <w:rFonts w:ascii="Aptos" w:eastAsia="Aptos" w:hAnsi="Aptos" w:cs="Aptos"/>
        </w:rPr>
      </w:pPr>
    </w:p>
    <w:p w14:paraId="5590FB8E" w14:textId="14849BA5" w:rsidR="001E2A32" w:rsidRPr="00403DF5" w:rsidRDefault="7C9C3C54" w:rsidP="003F111D">
      <w:pPr>
        <w:pStyle w:val="BodyText"/>
        <w:spacing w:line="271" w:lineRule="auto"/>
        <w:ind w:left="492" w:right="153"/>
        <w:jc w:val="both"/>
        <w:rPr>
          <w:rFonts w:ascii="Arial" w:hAnsi="Arial" w:cs="Arial"/>
          <w:iCs/>
          <w:sz w:val="22"/>
          <w:szCs w:val="22"/>
          <w:lang w:val="en-ZA"/>
        </w:rPr>
      </w:pPr>
      <w:r w:rsidRPr="003F111D">
        <w:rPr>
          <w:rFonts w:ascii="Arial" w:hAnsi="Arial" w:cs="Arial"/>
          <w:i/>
          <w:sz w:val="22"/>
          <w:szCs w:val="22"/>
          <w:lang w:val="en-ZA"/>
        </w:rPr>
        <w:t xml:space="preserve">Comment: </w:t>
      </w:r>
      <w:r w:rsidRPr="00403DF5">
        <w:rPr>
          <w:rFonts w:ascii="Arial" w:hAnsi="Arial" w:cs="Arial"/>
          <w:iCs/>
          <w:sz w:val="22"/>
          <w:szCs w:val="22"/>
          <w:lang w:val="en-ZA"/>
        </w:rPr>
        <w:t xml:space="preserve">The calorific value for diesel in the stationery source category and the non-stationary/mobile source category is different to the calorific value for other diesel types (ocean going ships, offroad and rail) in the nonstationary/ mobile source category. </w:t>
      </w:r>
      <w:r w:rsidR="019BE32F" w:rsidRPr="00403DF5">
        <w:rPr>
          <w:rFonts w:ascii="Arial" w:hAnsi="Arial" w:cs="Arial"/>
          <w:iCs/>
          <w:sz w:val="22"/>
          <w:szCs w:val="22"/>
          <w:lang w:val="en-ZA"/>
        </w:rPr>
        <w:t>The calorific value for non-stationery diesel should either be aligned with DFFE’s Methodological Guidelines for the Quantification of Greenhouse Gas Emissions or the difference should be explained.</w:t>
      </w:r>
    </w:p>
    <w:p w14:paraId="2AED4CEE" w14:textId="29DAAF11" w:rsidR="251BE3F0" w:rsidRPr="003F111D" w:rsidRDefault="251BE3F0" w:rsidP="003F111D">
      <w:pPr>
        <w:pStyle w:val="BodyText"/>
        <w:spacing w:line="271" w:lineRule="auto"/>
        <w:ind w:left="492" w:right="153"/>
        <w:jc w:val="both"/>
      </w:pPr>
    </w:p>
    <w:p w14:paraId="56467313" w14:textId="009D2230" w:rsidR="437A8AFD" w:rsidRPr="00EB4FA2" w:rsidRDefault="437A8AFD" w:rsidP="001E2A32">
      <w:pPr>
        <w:pStyle w:val="BodyText"/>
        <w:spacing w:line="271" w:lineRule="auto"/>
        <w:ind w:left="831" w:right="152"/>
        <w:jc w:val="both"/>
        <w:rPr>
          <w:rFonts w:ascii="Arial" w:hAnsi="Arial" w:cs="Arial"/>
          <w:i/>
          <w:sz w:val="22"/>
          <w:szCs w:val="22"/>
          <w:lang w:val="en-ZA"/>
        </w:rPr>
      </w:pPr>
      <w:r w:rsidRPr="003F111D">
        <w:rPr>
          <w:rFonts w:ascii="Arial" w:hAnsi="Arial" w:cs="Arial"/>
          <w:i/>
          <w:sz w:val="22"/>
          <w:szCs w:val="22"/>
          <w:lang w:val="en-ZA"/>
        </w:rPr>
        <w:t xml:space="preserve">Response: </w:t>
      </w:r>
      <w:r w:rsidR="2E1C75B9" w:rsidRPr="00403DF5">
        <w:rPr>
          <w:rFonts w:ascii="Arial" w:hAnsi="Arial" w:cs="Arial"/>
          <w:iCs/>
          <w:sz w:val="22"/>
          <w:szCs w:val="22"/>
          <w:u w:val="single"/>
          <w:lang w:val="en-ZA"/>
        </w:rPr>
        <w:t>Not Accepted</w:t>
      </w:r>
      <w:r w:rsidR="2E1C75B9" w:rsidRPr="00403DF5">
        <w:rPr>
          <w:rFonts w:ascii="Arial" w:hAnsi="Arial" w:cs="Arial"/>
          <w:iCs/>
          <w:sz w:val="22"/>
          <w:szCs w:val="22"/>
          <w:lang w:val="en-ZA"/>
        </w:rPr>
        <w:t xml:space="preserve">. The change of the </w:t>
      </w:r>
      <w:r w:rsidR="032359AF" w:rsidRPr="00403DF5">
        <w:rPr>
          <w:rFonts w:ascii="Arial" w:hAnsi="Arial" w:cs="Arial"/>
          <w:iCs/>
          <w:sz w:val="22"/>
          <w:szCs w:val="22"/>
          <w:lang w:val="en-ZA"/>
        </w:rPr>
        <w:t>net calorific value for other bituminous coal</w:t>
      </w:r>
      <w:r w:rsidR="2E1C75B9" w:rsidRPr="00403DF5">
        <w:rPr>
          <w:rFonts w:ascii="Arial" w:hAnsi="Arial" w:cs="Arial"/>
          <w:iCs/>
          <w:sz w:val="22"/>
          <w:szCs w:val="22"/>
          <w:lang w:val="en-ZA"/>
        </w:rPr>
        <w:t xml:space="preserve"> is to align with the Guidelines of the DFFE. The tier 1 and tier 2 NCVs</w:t>
      </w:r>
      <w:r w:rsidR="28305C19" w:rsidRPr="00403DF5">
        <w:rPr>
          <w:rFonts w:ascii="Arial" w:hAnsi="Arial" w:cs="Arial"/>
          <w:iCs/>
          <w:sz w:val="22"/>
          <w:szCs w:val="22"/>
          <w:lang w:val="en-ZA"/>
        </w:rPr>
        <w:t xml:space="preserve"> both</w:t>
      </w:r>
      <w:r w:rsidR="2E1C75B9" w:rsidRPr="00403DF5">
        <w:rPr>
          <w:rFonts w:ascii="Arial" w:hAnsi="Arial" w:cs="Arial"/>
          <w:iCs/>
          <w:sz w:val="22"/>
          <w:szCs w:val="22"/>
          <w:lang w:val="en-ZA"/>
        </w:rPr>
        <w:t xml:space="preserve"> fall within the range that is applicable for other bituminous coal. </w:t>
      </w:r>
      <w:r w:rsidR="52F736E1" w:rsidRPr="00403DF5">
        <w:rPr>
          <w:rFonts w:ascii="Arial" w:hAnsi="Arial" w:cs="Arial"/>
          <w:iCs/>
          <w:sz w:val="22"/>
          <w:szCs w:val="22"/>
          <w:lang w:val="en-ZA"/>
        </w:rPr>
        <w:t>Taxpayers may use the relevant NCV that is within the specified range.</w:t>
      </w:r>
      <w:r w:rsidR="52F736E1" w:rsidRPr="003F111D">
        <w:rPr>
          <w:rFonts w:ascii="Arial" w:hAnsi="Arial" w:cs="Arial"/>
          <w:i/>
          <w:sz w:val="22"/>
          <w:szCs w:val="22"/>
          <w:lang w:val="en-ZA"/>
        </w:rPr>
        <w:t xml:space="preserve"> </w:t>
      </w:r>
      <w:r w:rsidR="2E1C75B9" w:rsidRPr="003F111D">
        <w:rPr>
          <w:rFonts w:ascii="Arial" w:hAnsi="Arial" w:cs="Arial"/>
          <w:i/>
          <w:sz w:val="22"/>
          <w:szCs w:val="22"/>
          <w:lang w:val="en-ZA"/>
        </w:rPr>
        <w:t xml:space="preserve"> </w:t>
      </w:r>
    </w:p>
    <w:p w14:paraId="2C99750A" w14:textId="77777777" w:rsidR="001E2A32" w:rsidRPr="003F111D" w:rsidRDefault="001E2A32" w:rsidP="003F111D">
      <w:pPr>
        <w:pStyle w:val="BodyText"/>
        <w:spacing w:line="271" w:lineRule="auto"/>
        <w:ind w:left="831" w:right="152"/>
        <w:jc w:val="both"/>
        <w:rPr>
          <w:rFonts w:ascii="Arial" w:hAnsi="Arial" w:cs="Arial"/>
          <w:i/>
          <w:lang w:val="en-ZA"/>
        </w:rPr>
      </w:pPr>
    </w:p>
    <w:p w14:paraId="30DC21F4" w14:textId="4C454E02" w:rsidR="2E1C75B9" w:rsidRPr="003F111D" w:rsidRDefault="2E1C75B9" w:rsidP="5B90F70C">
      <w:pPr>
        <w:pStyle w:val="BodyText"/>
        <w:spacing w:line="271" w:lineRule="auto"/>
        <w:ind w:left="831" w:right="152"/>
        <w:jc w:val="both"/>
        <w:rPr>
          <w:rFonts w:ascii="Arial" w:hAnsi="Arial" w:cs="Arial"/>
          <w:i/>
          <w:iCs/>
        </w:rPr>
      </w:pPr>
      <w:r w:rsidRPr="5B90F70C">
        <w:rPr>
          <w:rFonts w:ascii="Arial" w:hAnsi="Arial" w:cs="Arial"/>
          <w:i/>
          <w:iCs/>
          <w:sz w:val="22"/>
          <w:szCs w:val="22"/>
        </w:rPr>
        <w:t xml:space="preserve">Response: </w:t>
      </w:r>
      <w:r w:rsidR="68188F10" w:rsidRPr="5B90F70C">
        <w:rPr>
          <w:rFonts w:ascii="Arial" w:hAnsi="Arial" w:cs="Arial"/>
          <w:sz w:val="22"/>
          <w:szCs w:val="22"/>
          <w:u w:val="single"/>
        </w:rPr>
        <w:t>Not Accepted</w:t>
      </w:r>
      <w:r w:rsidR="68188F10" w:rsidRPr="5B90F70C">
        <w:rPr>
          <w:rFonts w:ascii="Arial" w:hAnsi="Arial" w:cs="Arial"/>
          <w:sz w:val="22"/>
          <w:szCs w:val="22"/>
        </w:rPr>
        <w:t xml:space="preserve">. </w:t>
      </w:r>
      <w:r w:rsidRPr="5B90F70C">
        <w:rPr>
          <w:rFonts w:ascii="Arial" w:hAnsi="Arial" w:cs="Arial"/>
          <w:sz w:val="22"/>
          <w:szCs w:val="22"/>
        </w:rPr>
        <w:t>The proposed diesel calorific values are</w:t>
      </w:r>
      <w:r w:rsidR="77BF38E4" w:rsidRPr="5B90F70C">
        <w:rPr>
          <w:rFonts w:ascii="Arial" w:hAnsi="Arial" w:cs="Arial"/>
          <w:sz w:val="22"/>
          <w:szCs w:val="22"/>
        </w:rPr>
        <w:t xml:space="preserve"> aligned with the Methodological Guidelines and are</w:t>
      </w:r>
      <w:r w:rsidRPr="5B90F70C">
        <w:rPr>
          <w:rFonts w:ascii="Arial" w:hAnsi="Arial" w:cs="Arial"/>
          <w:sz w:val="22"/>
          <w:szCs w:val="22"/>
        </w:rPr>
        <w:t xml:space="preserve"> based on the country-specific net caloric values in Annexure D of the Methodological Guideline, which are converted to TJ/Tonne by use of the Density factors as guided by the DFFE</w:t>
      </w:r>
      <w:r w:rsidRPr="5B90F70C">
        <w:rPr>
          <w:rFonts w:ascii="Arial" w:hAnsi="Arial" w:cs="Arial"/>
          <w:i/>
          <w:iCs/>
          <w:sz w:val="22"/>
          <w:szCs w:val="22"/>
        </w:rPr>
        <w:t xml:space="preserve">.  </w:t>
      </w:r>
    </w:p>
    <w:p w14:paraId="39532692" w14:textId="3A9C6882" w:rsidR="251BE3F0" w:rsidRPr="003F111D" w:rsidRDefault="251BE3F0" w:rsidP="0000345D">
      <w:pPr>
        <w:pStyle w:val="BodyText"/>
        <w:spacing w:after="160" w:line="257" w:lineRule="auto"/>
        <w:jc w:val="both"/>
        <w:rPr>
          <w:rFonts w:ascii="Aptos" w:eastAsia="Aptos" w:hAnsi="Aptos" w:cs="Aptos"/>
          <w:lang w:val="en-ZA"/>
        </w:rPr>
      </w:pPr>
    </w:p>
    <w:p w14:paraId="7C2B61AD" w14:textId="54B314F6" w:rsidR="065617DE" w:rsidRPr="00EB4FA2" w:rsidRDefault="065617DE" w:rsidP="004E5BD4">
      <w:pPr>
        <w:pStyle w:val="BodyText"/>
        <w:spacing w:line="271" w:lineRule="auto"/>
        <w:ind w:left="492" w:right="153"/>
        <w:jc w:val="both"/>
        <w:rPr>
          <w:rFonts w:ascii="Arial" w:hAnsi="Arial" w:cs="Arial"/>
          <w:i/>
          <w:sz w:val="22"/>
          <w:szCs w:val="22"/>
          <w:lang w:val="en-ZA"/>
        </w:rPr>
      </w:pPr>
      <w:r w:rsidRPr="003F111D">
        <w:rPr>
          <w:rFonts w:ascii="Arial" w:hAnsi="Arial" w:cs="Arial"/>
          <w:i/>
          <w:sz w:val="22"/>
          <w:szCs w:val="22"/>
          <w:lang w:val="en-ZA"/>
        </w:rPr>
        <w:t xml:space="preserve">Comment: </w:t>
      </w:r>
      <w:r w:rsidR="3B7CC8FA" w:rsidRPr="00403DF5">
        <w:rPr>
          <w:rFonts w:ascii="Arial" w:hAnsi="Arial" w:cs="Arial"/>
          <w:iCs/>
          <w:sz w:val="22"/>
          <w:szCs w:val="22"/>
          <w:lang w:val="en-ZA"/>
        </w:rPr>
        <w:t xml:space="preserve">There is a country-specific </w:t>
      </w:r>
      <w:r w:rsidR="237D807D" w:rsidRPr="00403DF5">
        <w:rPr>
          <w:rFonts w:ascii="Arial" w:hAnsi="Arial" w:cs="Arial"/>
          <w:iCs/>
          <w:sz w:val="22"/>
          <w:szCs w:val="22"/>
          <w:lang w:val="en-ZA"/>
        </w:rPr>
        <w:t>carbon dioxide</w:t>
      </w:r>
      <w:r w:rsidR="3B7CC8FA" w:rsidRPr="00403DF5">
        <w:rPr>
          <w:rFonts w:ascii="Arial" w:hAnsi="Arial" w:cs="Arial"/>
          <w:iCs/>
          <w:sz w:val="22"/>
          <w:szCs w:val="22"/>
          <w:lang w:val="en-ZA"/>
        </w:rPr>
        <w:t xml:space="preserve"> emission factor for natural gas. The schedule should be updated to include this country-specific CO2 emission factor. For both natural gas and methane-rich gas, there are country-specific calorific values. The schedule should be updated to include these country-specific calorific values.</w:t>
      </w:r>
    </w:p>
    <w:p w14:paraId="29D79BBC" w14:textId="77777777" w:rsidR="001E2A32" w:rsidRPr="003F111D" w:rsidRDefault="001E2A32" w:rsidP="003F111D">
      <w:pPr>
        <w:pStyle w:val="BodyText"/>
        <w:spacing w:line="271" w:lineRule="auto"/>
        <w:ind w:left="492" w:right="153"/>
        <w:jc w:val="both"/>
        <w:rPr>
          <w:rFonts w:ascii="Arial" w:hAnsi="Arial" w:cs="Arial"/>
          <w:i/>
          <w:sz w:val="22"/>
          <w:szCs w:val="22"/>
          <w:lang w:val="en-ZA"/>
        </w:rPr>
      </w:pPr>
    </w:p>
    <w:p w14:paraId="0E6EA928" w14:textId="77777777" w:rsidR="001E2A32" w:rsidRPr="00EB4FA2" w:rsidRDefault="065617DE" w:rsidP="001E2A32">
      <w:pPr>
        <w:pStyle w:val="BodyText"/>
        <w:spacing w:line="271" w:lineRule="auto"/>
        <w:ind w:left="831" w:right="152"/>
        <w:jc w:val="both"/>
        <w:rPr>
          <w:rFonts w:ascii="Arial" w:hAnsi="Arial" w:cs="Arial"/>
          <w:i/>
          <w:sz w:val="22"/>
          <w:szCs w:val="22"/>
          <w:lang w:val="en-ZA"/>
        </w:rPr>
      </w:pPr>
      <w:r w:rsidRPr="003F111D">
        <w:rPr>
          <w:rFonts w:ascii="Arial" w:hAnsi="Arial" w:cs="Arial"/>
          <w:i/>
          <w:sz w:val="22"/>
          <w:szCs w:val="22"/>
          <w:lang w:val="en-ZA"/>
        </w:rPr>
        <w:t>Response</w:t>
      </w:r>
      <w:r w:rsidRPr="00403DF5">
        <w:rPr>
          <w:rFonts w:ascii="Arial" w:hAnsi="Arial" w:cs="Arial"/>
          <w:iCs/>
          <w:sz w:val="22"/>
          <w:szCs w:val="22"/>
          <w:lang w:val="en-ZA"/>
        </w:rPr>
        <w:t xml:space="preserve">: </w:t>
      </w:r>
      <w:r w:rsidR="29F8275E" w:rsidRPr="00403DF5">
        <w:rPr>
          <w:rFonts w:ascii="Arial" w:hAnsi="Arial" w:cs="Arial"/>
          <w:iCs/>
          <w:sz w:val="22"/>
          <w:szCs w:val="22"/>
          <w:u w:val="single"/>
          <w:lang w:val="en-ZA"/>
        </w:rPr>
        <w:t>Not Accepted</w:t>
      </w:r>
      <w:r w:rsidR="29F8275E" w:rsidRPr="00403DF5">
        <w:rPr>
          <w:rFonts w:ascii="Arial" w:hAnsi="Arial" w:cs="Arial"/>
          <w:iCs/>
          <w:sz w:val="22"/>
          <w:szCs w:val="22"/>
          <w:lang w:val="en-ZA"/>
        </w:rPr>
        <w:t xml:space="preserve">. The </w:t>
      </w:r>
      <w:r w:rsidR="073E1FF6" w:rsidRPr="00403DF5">
        <w:rPr>
          <w:rFonts w:ascii="Arial" w:hAnsi="Arial" w:cs="Arial"/>
          <w:iCs/>
          <w:sz w:val="22"/>
          <w:szCs w:val="22"/>
          <w:lang w:val="en-ZA"/>
        </w:rPr>
        <w:t>carbon dioxide</w:t>
      </w:r>
      <w:r w:rsidR="29F8275E" w:rsidRPr="00403DF5">
        <w:rPr>
          <w:rFonts w:ascii="Arial" w:hAnsi="Arial" w:cs="Arial"/>
          <w:iCs/>
          <w:sz w:val="22"/>
          <w:szCs w:val="22"/>
          <w:lang w:val="en-ZA"/>
        </w:rPr>
        <w:t xml:space="preserve"> emission factor used for natural gas is the default IPCC emission factor in the DFFE Methodological Guidelines.</w:t>
      </w:r>
      <w:r w:rsidR="6D0EFB92" w:rsidRPr="00403DF5">
        <w:rPr>
          <w:rFonts w:ascii="Arial" w:hAnsi="Arial" w:cs="Arial"/>
          <w:iCs/>
          <w:sz w:val="22"/>
          <w:szCs w:val="22"/>
          <w:lang w:val="en-ZA"/>
        </w:rPr>
        <w:t xml:space="preserve"> The emission factors in Schedule 1 are aligned with the factors in the Guidelines.</w:t>
      </w:r>
    </w:p>
    <w:p w14:paraId="6B5405CD" w14:textId="412A4A3C" w:rsidR="065617DE" w:rsidRPr="003F111D" w:rsidRDefault="6D0EFB92" w:rsidP="003F111D">
      <w:pPr>
        <w:pStyle w:val="BodyText"/>
        <w:spacing w:line="271" w:lineRule="auto"/>
        <w:ind w:left="831" w:right="152"/>
        <w:jc w:val="both"/>
        <w:rPr>
          <w:rFonts w:ascii="Arial" w:hAnsi="Arial" w:cs="Arial"/>
          <w:i/>
          <w:sz w:val="22"/>
          <w:szCs w:val="22"/>
          <w:lang w:val="en-ZA"/>
        </w:rPr>
      </w:pPr>
      <w:r w:rsidRPr="003F111D">
        <w:rPr>
          <w:rFonts w:ascii="Arial" w:hAnsi="Arial" w:cs="Arial"/>
          <w:i/>
          <w:sz w:val="22"/>
          <w:szCs w:val="22"/>
          <w:lang w:val="en-ZA"/>
        </w:rPr>
        <w:t xml:space="preserve">  </w:t>
      </w:r>
      <w:r w:rsidR="29F8275E" w:rsidRPr="003F111D">
        <w:rPr>
          <w:rFonts w:ascii="Arial" w:hAnsi="Arial" w:cs="Arial"/>
          <w:i/>
          <w:sz w:val="22"/>
          <w:szCs w:val="22"/>
          <w:lang w:val="en-ZA"/>
        </w:rPr>
        <w:t xml:space="preserve">  </w:t>
      </w:r>
      <w:r w:rsidR="13B799B5" w:rsidRPr="003F111D">
        <w:rPr>
          <w:rFonts w:ascii="Arial" w:hAnsi="Arial" w:cs="Arial"/>
          <w:i/>
          <w:sz w:val="22"/>
          <w:szCs w:val="22"/>
          <w:lang w:val="en-ZA"/>
        </w:rPr>
        <w:t xml:space="preserve"> </w:t>
      </w:r>
    </w:p>
    <w:p w14:paraId="69625215" w14:textId="3AA72F1C" w:rsidR="36653205" w:rsidRPr="00403DF5" w:rsidRDefault="36653205" w:rsidP="004E5BD4">
      <w:pPr>
        <w:pStyle w:val="BodyText"/>
        <w:spacing w:line="271" w:lineRule="auto"/>
        <w:ind w:left="492" w:right="153"/>
        <w:jc w:val="both"/>
        <w:rPr>
          <w:rFonts w:ascii="Arial" w:hAnsi="Arial" w:cs="Arial"/>
          <w:iCs/>
          <w:sz w:val="22"/>
          <w:szCs w:val="22"/>
          <w:lang w:val="en-ZA"/>
        </w:rPr>
      </w:pPr>
      <w:r w:rsidRPr="003F111D">
        <w:rPr>
          <w:rFonts w:ascii="Arial" w:hAnsi="Arial" w:cs="Arial"/>
          <w:i/>
          <w:sz w:val="22"/>
          <w:szCs w:val="22"/>
          <w:lang w:val="en-ZA"/>
        </w:rPr>
        <w:t xml:space="preserve">Comment: </w:t>
      </w:r>
      <w:r w:rsidRPr="00403DF5">
        <w:rPr>
          <w:rFonts w:ascii="Arial" w:hAnsi="Arial" w:cs="Arial"/>
          <w:iCs/>
          <w:sz w:val="22"/>
          <w:szCs w:val="22"/>
          <w:lang w:val="en-ZA"/>
        </w:rPr>
        <w:t xml:space="preserve">For the </w:t>
      </w:r>
      <w:r w:rsidR="73D4BDB4" w:rsidRPr="00403DF5">
        <w:rPr>
          <w:rFonts w:ascii="Arial" w:hAnsi="Arial" w:cs="Arial"/>
          <w:iCs/>
          <w:sz w:val="22"/>
          <w:szCs w:val="22"/>
          <w:lang w:val="en-ZA"/>
        </w:rPr>
        <w:t xml:space="preserve">process emission factor </w:t>
      </w:r>
      <w:r w:rsidR="0CCBA49F" w:rsidRPr="00403DF5">
        <w:rPr>
          <w:rFonts w:ascii="Arial" w:hAnsi="Arial" w:cs="Arial"/>
          <w:iCs/>
          <w:sz w:val="22"/>
          <w:szCs w:val="22"/>
          <w:lang w:val="en-ZA"/>
        </w:rPr>
        <w:t>of</w:t>
      </w:r>
      <w:r w:rsidR="73D4BDB4" w:rsidRPr="00403DF5">
        <w:rPr>
          <w:rFonts w:ascii="Arial" w:hAnsi="Arial" w:cs="Arial"/>
          <w:iCs/>
          <w:sz w:val="22"/>
          <w:szCs w:val="22"/>
          <w:lang w:val="en-ZA"/>
        </w:rPr>
        <w:t xml:space="preserve"> 2A3 glass production, it is re</w:t>
      </w:r>
      <w:r w:rsidR="4006ABE7" w:rsidRPr="00403DF5">
        <w:rPr>
          <w:rFonts w:ascii="Arial" w:hAnsi="Arial" w:cs="Arial"/>
          <w:iCs/>
          <w:sz w:val="22"/>
          <w:szCs w:val="22"/>
          <w:lang w:val="en-ZA"/>
        </w:rPr>
        <w:t xml:space="preserve">commended </w:t>
      </w:r>
      <w:r w:rsidR="73D4BDB4" w:rsidRPr="00403DF5">
        <w:rPr>
          <w:rFonts w:ascii="Arial" w:hAnsi="Arial" w:cs="Arial"/>
          <w:iCs/>
          <w:sz w:val="22"/>
          <w:szCs w:val="22"/>
          <w:lang w:val="en-ZA"/>
        </w:rPr>
        <w:t xml:space="preserve">that </w:t>
      </w:r>
      <w:r w:rsidR="4C557A54" w:rsidRPr="00403DF5">
        <w:rPr>
          <w:rFonts w:ascii="Arial" w:hAnsi="Arial" w:cs="Arial"/>
          <w:iCs/>
          <w:sz w:val="22"/>
          <w:szCs w:val="22"/>
          <w:lang w:val="en-ZA"/>
        </w:rPr>
        <w:t>the Act is clear for taxpayers to subtract the cullet</w:t>
      </w:r>
      <w:r w:rsidR="04C39DD3" w:rsidRPr="00403DF5">
        <w:rPr>
          <w:rFonts w:ascii="Arial" w:hAnsi="Arial" w:cs="Arial"/>
          <w:iCs/>
          <w:sz w:val="22"/>
          <w:szCs w:val="22"/>
          <w:lang w:val="en-ZA"/>
        </w:rPr>
        <w:t xml:space="preserve"> (recycled material)</w:t>
      </w:r>
      <w:r w:rsidR="4C557A54" w:rsidRPr="00403DF5">
        <w:rPr>
          <w:rFonts w:ascii="Arial" w:hAnsi="Arial" w:cs="Arial"/>
          <w:iCs/>
          <w:sz w:val="22"/>
          <w:szCs w:val="22"/>
          <w:lang w:val="en-ZA"/>
        </w:rPr>
        <w:t xml:space="preserve"> percentage </w:t>
      </w:r>
      <w:r w:rsidR="65D7A2C7" w:rsidRPr="00403DF5">
        <w:rPr>
          <w:rFonts w:ascii="Arial" w:hAnsi="Arial" w:cs="Arial"/>
          <w:iCs/>
          <w:sz w:val="22"/>
          <w:szCs w:val="22"/>
          <w:lang w:val="en-ZA"/>
        </w:rPr>
        <w:t xml:space="preserve">prior to applying the emission factor. This is in line with DFFE’s Methodological Guidelines and the IPCC 2006 Guidelines. </w:t>
      </w:r>
      <w:r w:rsidR="038FA413" w:rsidRPr="00403DF5">
        <w:rPr>
          <w:rFonts w:ascii="Arial" w:hAnsi="Arial" w:cs="Arial"/>
          <w:iCs/>
          <w:sz w:val="22"/>
          <w:szCs w:val="22"/>
          <w:lang w:val="en-ZA"/>
        </w:rPr>
        <w:t>The use of recycled material does not result in process emissions</w:t>
      </w:r>
      <w:r w:rsidR="7E45D545" w:rsidRPr="00403DF5">
        <w:rPr>
          <w:rFonts w:ascii="Arial" w:hAnsi="Arial" w:cs="Arial"/>
          <w:iCs/>
          <w:sz w:val="22"/>
          <w:szCs w:val="22"/>
          <w:lang w:val="en-ZA"/>
        </w:rPr>
        <w:t xml:space="preserve">. Taxpayers must be aligned to the emissions submitted to the DFFE. </w:t>
      </w:r>
    </w:p>
    <w:p w14:paraId="0A2894C6" w14:textId="77777777" w:rsidR="001E2A32" w:rsidRPr="003F111D" w:rsidRDefault="001E2A32" w:rsidP="003F111D">
      <w:pPr>
        <w:pStyle w:val="BodyText"/>
        <w:spacing w:line="271" w:lineRule="auto"/>
        <w:ind w:left="492" w:right="153"/>
        <w:jc w:val="both"/>
        <w:rPr>
          <w:rFonts w:ascii="Arial" w:hAnsi="Arial" w:cs="Arial"/>
          <w:i/>
          <w:sz w:val="22"/>
          <w:szCs w:val="22"/>
          <w:lang w:val="en-ZA"/>
        </w:rPr>
      </w:pPr>
    </w:p>
    <w:p w14:paraId="6FC174DB" w14:textId="29D890EE" w:rsidR="7E45D545" w:rsidRPr="00403DF5" w:rsidRDefault="7E45D545" w:rsidP="003F111D">
      <w:pPr>
        <w:pStyle w:val="BodyText"/>
        <w:spacing w:line="271" w:lineRule="auto"/>
        <w:ind w:left="831" w:right="152"/>
        <w:jc w:val="both"/>
        <w:rPr>
          <w:rFonts w:ascii="Arial" w:hAnsi="Arial" w:cs="Arial"/>
          <w:iCs/>
          <w:sz w:val="22"/>
          <w:szCs w:val="22"/>
          <w:lang w:val="en-ZA"/>
        </w:rPr>
      </w:pPr>
      <w:r w:rsidRPr="003F111D">
        <w:rPr>
          <w:rFonts w:ascii="Arial" w:hAnsi="Arial" w:cs="Arial"/>
          <w:i/>
          <w:sz w:val="22"/>
          <w:szCs w:val="22"/>
          <w:lang w:val="en-ZA"/>
        </w:rPr>
        <w:t xml:space="preserve">Response: </w:t>
      </w:r>
      <w:r w:rsidRPr="00403DF5">
        <w:rPr>
          <w:rFonts w:ascii="Arial" w:hAnsi="Arial" w:cs="Arial"/>
          <w:iCs/>
          <w:sz w:val="22"/>
          <w:szCs w:val="22"/>
          <w:u w:val="single"/>
          <w:lang w:val="en-ZA"/>
        </w:rPr>
        <w:t>Noted</w:t>
      </w:r>
      <w:r w:rsidRPr="00403DF5">
        <w:rPr>
          <w:rFonts w:ascii="Arial" w:hAnsi="Arial" w:cs="Arial"/>
          <w:iCs/>
          <w:sz w:val="22"/>
          <w:szCs w:val="22"/>
          <w:lang w:val="en-ZA"/>
        </w:rPr>
        <w:t>. The calculation of emissions using recycled or virgin material is already accounted for in the DFFE Guidelines and in the emissions reported by taxpayers to the DFFE.</w:t>
      </w:r>
      <w:r w:rsidR="6DAE949C" w:rsidRPr="00403DF5">
        <w:rPr>
          <w:rFonts w:ascii="Arial" w:hAnsi="Arial" w:cs="Arial"/>
          <w:iCs/>
          <w:sz w:val="22"/>
          <w:szCs w:val="22"/>
          <w:lang w:val="en-ZA"/>
        </w:rPr>
        <w:t xml:space="preserve"> </w:t>
      </w:r>
      <w:r w:rsidRPr="00403DF5">
        <w:rPr>
          <w:rFonts w:ascii="Arial" w:hAnsi="Arial" w:cs="Arial"/>
          <w:iCs/>
          <w:sz w:val="22"/>
          <w:szCs w:val="22"/>
          <w:lang w:val="en-ZA"/>
        </w:rPr>
        <w:t>Further consideration may be taken for Budget 2025 technical clarifications where necessary.</w:t>
      </w:r>
    </w:p>
    <w:p w14:paraId="66024E6C" w14:textId="5514E8A8" w:rsidR="251BE3F0" w:rsidRPr="003F111D" w:rsidRDefault="251BE3F0" w:rsidP="251BE3F0">
      <w:pPr>
        <w:pStyle w:val="BodyText"/>
        <w:spacing w:before="164"/>
        <w:jc w:val="both"/>
        <w:rPr>
          <w:lang w:val="en-ZA"/>
        </w:rPr>
      </w:pPr>
    </w:p>
    <w:p w14:paraId="0BD288D0" w14:textId="35CB7EB8" w:rsidR="6F15024A" w:rsidRPr="00403DF5" w:rsidRDefault="6F15024A" w:rsidP="251BE3F0">
      <w:pPr>
        <w:pStyle w:val="Heading3"/>
        <w:numPr>
          <w:ilvl w:val="1"/>
          <w:numId w:val="37"/>
        </w:numPr>
        <w:tabs>
          <w:tab w:val="left" w:pos="961"/>
        </w:tabs>
        <w:spacing w:before="208"/>
        <w:rPr>
          <w:sz w:val="22"/>
          <w:szCs w:val="22"/>
          <w:lang w:val="en-ZA"/>
        </w:rPr>
      </w:pPr>
      <w:bookmarkStart w:id="42" w:name="_Toc189212103"/>
      <w:r w:rsidRPr="00403DF5">
        <w:rPr>
          <w:sz w:val="22"/>
          <w:szCs w:val="22"/>
          <w:lang w:val="en-ZA"/>
        </w:rPr>
        <w:t>Aligning the Fugitive Emission Factors In Schedule 1 Of The Carbon Tax Act with the Greenhouse Gas Emission Methodological Guidelines</w:t>
      </w:r>
      <w:bookmarkEnd w:id="42"/>
    </w:p>
    <w:p w14:paraId="38B41012" w14:textId="4DCB573C" w:rsidR="6F15024A" w:rsidRDefault="6F15024A" w:rsidP="251BE3F0">
      <w:pPr>
        <w:pStyle w:val="BodyText"/>
        <w:spacing w:before="164"/>
        <w:ind w:left="492"/>
        <w:rPr>
          <w:sz w:val="22"/>
          <w:szCs w:val="22"/>
          <w:lang w:val="en-ZA"/>
        </w:rPr>
      </w:pPr>
      <w:r w:rsidRPr="00403DF5">
        <w:rPr>
          <w:sz w:val="22"/>
          <w:szCs w:val="22"/>
          <w:lang w:val="en-ZA"/>
        </w:rPr>
        <w:t>(Main reference: S</w:t>
      </w:r>
      <w:r w:rsidR="768EF976" w:rsidRPr="00403DF5">
        <w:rPr>
          <w:sz w:val="22"/>
          <w:szCs w:val="22"/>
          <w:lang w:val="en-ZA"/>
        </w:rPr>
        <w:t>chedule 1</w:t>
      </w:r>
      <w:r w:rsidRPr="00403DF5">
        <w:rPr>
          <w:sz w:val="22"/>
          <w:szCs w:val="22"/>
          <w:lang w:val="en-ZA"/>
        </w:rPr>
        <w:t xml:space="preserve"> of the Carbon Tax Act: Clause 6</w:t>
      </w:r>
      <w:r w:rsidR="1534D4BB" w:rsidRPr="00403DF5">
        <w:rPr>
          <w:sz w:val="22"/>
          <w:szCs w:val="22"/>
          <w:lang w:val="en-ZA"/>
        </w:rPr>
        <w:t>4</w:t>
      </w:r>
      <w:r w:rsidRPr="00403DF5">
        <w:rPr>
          <w:sz w:val="22"/>
          <w:szCs w:val="22"/>
          <w:lang w:val="en-ZA"/>
        </w:rPr>
        <w:t xml:space="preserve"> of the Draft TLAB)</w:t>
      </w:r>
    </w:p>
    <w:p w14:paraId="33AE7073" w14:textId="77777777" w:rsidR="00DD66B8" w:rsidRPr="00403DF5" w:rsidRDefault="00DD66B8" w:rsidP="251BE3F0">
      <w:pPr>
        <w:pStyle w:val="BodyText"/>
        <w:spacing w:before="164"/>
        <w:ind w:left="492"/>
        <w:rPr>
          <w:sz w:val="22"/>
          <w:szCs w:val="22"/>
          <w:lang w:val="en-ZA"/>
        </w:rPr>
      </w:pPr>
    </w:p>
    <w:p w14:paraId="5CB7C758" w14:textId="00CF6164" w:rsidR="757C86F5" w:rsidRDefault="757C86F5" w:rsidP="00DD66B8">
      <w:pPr>
        <w:pStyle w:val="BodyText"/>
        <w:spacing w:line="271" w:lineRule="auto"/>
        <w:ind w:left="831" w:right="152"/>
        <w:jc w:val="both"/>
        <w:rPr>
          <w:rFonts w:ascii="Arial" w:hAnsi="Arial" w:cs="Arial"/>
          <w:iCs/>
          <w:sz w:val="22"/>
          <w:szCs w:val="22"/>
          <w:lang w:val="en-ZA"/>
        </w:rPr>
      </w:pPr>
      <w:r w:rsidRPr="00403DF5">
        <w:rPr>
          <w:rFonts w:ascii="Arial" w:hAnsi="Arial" w:cs="Arial"/>
          <w:iCs/>
          <w:sz w:val="22"/>
          <w:szCs w:val="22"/>
          <w:lang w:val="en-ZA"/>
        </w:rPr>
        <w:t>The Carbon Tax Act contains Schedule 1 which outlines the default emission factors for fuel combustion (stationary and non-stationary), fugitive and industrial process emissions. These factors are used to calculate the total emissions for companies under different activities In Section 4 of the Carbon Tax Act. Schedule 1 of the Act is aligned with the emission factor tables contained in Annexures of the Methodological Guidelines for Quantification of Greenhouse Gas Emissions. In October 2022, the DFFE gazetted the Amended Methodological Guideline for Quantification of Greenhouse Gas Emissions.</w:t>
      </w:r>
    </w:p>
    <w:p w14:paraId="580E1193" w14:textId="77777777" w:rsidR="00BB6AB1" w:rsidRPr="00403DF5" w:rsidRDefault="00BB6AB1" w:rsidP="00403DF5">
      <w:pPr>
        <w:pStyle w:val="BodyText"/>
        <w:spacing w:line="271" w:lineRule="auto"/>
        <w:ind w:left="831" w:right="152"/>
        <w:jc w:val="both"/>
        <w:rPr>
          <w:rFonts w:ascii="Arial" w:hAnsi="Arial" w:cs="Arial"/>
          <w:iCs/>
          <w:sz w:val="22"/>
          <w:szCs w:val="22"/>
          <w:lang w:val="en-ZA"/>
        </w:rPr>
      </w:pPr>
    </w:p>
    <w:p w14:paraId="4226859C" w14:textId="5ACBFDF9" w:rsidR="757C86F5" w:rsidRDefault="757C86F5" w:rsidP="00DD66B8">
      <w:pPr>
        <w:pStyle w:val="BodyText"/>
        <w:spacing w:line="271" w:lineRule="auto"/>
        <w:ind w:left="831" w:right="152"/>
        <w:jc w:val="both"/>
        <w:rPr>
          <w:rFonts w:ascii="Arial" w:hAnsi="Arial" w:cs="Arial"/>
          <w:iCs/>
          <w:sz w:val="22"/>
          <w:szCs w:val="22"/>
          <w:lang w:val="en-ZA"/>
        </w:rPr>
      </w:pPr>
      <w:r w:rsidRPr="00403DF5">
        <w:rPr>
          <w:rFonts w:ascii="Arial" w:hAnsi="Arial" w:cs="Arial"/>
          <w:iCs/>
          <w:sz w:val="22"/>
          <w:szCs w:val="22"/>
          <w:lang w:val="en-ZA"/>
        </w:rPr>
        <w:t>The updated Methodological Guideline contained a new table B3 on Default Emission Factors for fugitive emissions from coal mining, oil and gas operations based on the 2019 Intergovernmental Panel on Climate Change (IPCC) refinements study on emission factors. •In Budget 2023, amendments were proposed to Schedule 1 to include new tables on the fugitive emissions. The tables which were included in the Taxation Laws Amendment Bill of 2023 were withdrawn after public consultation on the TLAB to allow for further consultations with DFFE on the application new fugitive emissions table.</w:t>
      </w:r>
    </w:p>
    <w:p w14:paraId="531F6069" w14:textId="77777777" w:rsidR="00DD66B8" w:rsidRPr="00403DF5" w:rsidRDefault="00DD66B8" w:rsidP="00403DF5">
      <w:pPr>
        <w:pStyle w:val="BodyText"/>
        <w:spacing w:line="271" w:lineRule="auto"/>
        <w:ind w:left="831" w:right="152"/>
        <w:jc w:val="both"/>
        <w:rPr>
          <w:rFonts w:ascii="Arial" w:hAnsi="Arial" w:cs="Arial"/>
          <w:iCs/>
          <w:sz w:val="22"/>
          <w:szCs w:val="22"/>
          <w:lang w:val="en-ZA"/>
        </w:rPr>
      </w:pPr>
    </w:p>
    <w:p w14:paraId="7B8BE885" w14:textId="3126F4D4" w:rsidR="757C86F5" w:rsidRDefault="757C86F5" w:rsidP="00DD66B8">
      <w:pPr>
        <w:pStyle w:val="BodyText"/>
        <w:spacing w:line="271" w:lineRule="auto"/>
        <w:ind w:left="831" w:right="152"/>
        <w:jc w:val="both"/>
        <w:rPr>
          <w:rFonts w:ascii="Arial" w:hAnsi="Arial" w:cs="Arial"/>
          <w:iCs/>
          <w:sz w:val="22"/>
          <w:szCs w:val="22"/>
          <w:lang w:val="en-ZA"/>
        </w:rPr>
      </w:pPr>
      <w:r w:rsidRPr="00403DF5">
        <w:rPr>
          <w:rFonts w:ascii="Arial" w:hAnsi="Arial" w:cs="Arial"/>
          <w:iCs/>
          <w:sz w:val="22"/>
          <w:szCs w:val="22"/>
          <w:lang w:val="en-ZA"/>
        </w:rPr>
        <w:t>It is proposed that the fugitive emissions table in Schedule 1 of the Carbon Tax Act is updated to include the new activities and fugitive emissions factors for the relevant emission source categories based on the 2019 refinements to the 2006 Intergovernmental Panel on Climate Change Guidelines for National Greenhouse Gas Inventorie</w:t>
      </w:r>
      <w:r w:rsidR="55C40ED4" w:rsidRPr="00403DF5">
        <w:rPr>
          <w:rFonts w:ascii="Arial" w:hAnsi="Arial" w:cs="Arial"/>
          <w:iCs/>
          <w:sz w:val="22"/>
          <w:szCs w:val="22"/>
          <w:lang w:val="en-ZA"/>
        </w:rPr>
        <w:t xml:space="preserve">s. </w:t>
      </w:r>
    </w:p>
    <w:p w14:paraId="66D17F3F" w14:textId="77777777" w:rsidR="00DD66B8" w:rsidRPr="00403DF5" w:rsidRDefault="00DD66B8" w:rsidP="00403DF5">
      <w:pPr>
        <w:pStyle w:val="BodyText"/>
        <w:spacing w:line="271" w:lineRule="auto"/>
        <w:ind w:left="831" w:right="152"/>
        <w:jc w:val="both"/>
        <w:rPr>
          <w:rFonts w:ascii="Arial" w:hAnsi="Arial" w:cs="Arial"/>
          <w:iCs/>
          <w:sz w:val="22"/>
          <w:szCs w:val="22"/>
          <w:lang w:val="en-ZA"/>
        </w:rPr>
      </w:pPr>
    </w:p>
    <w:p w14:paraId="1021B07F" w14:textId="40B7D8C3" w:rsidR="4BD9F845" w:rsidRPr="00403DF5" w:rsidRDefault="4BD9F845" w:rsidP="00403DF5">
      <w:pPr>
        <w:pStyle w:val="BodyText"/>
        <w:spacing w:line="271" w:lineRule="auto"/>
        <w:ind w:left="831" w:right="152"/>
        <w:jc w:val="both"/>
        <w:rPr>
          <w:rFonts w:ascii="Arial" w:hAnsi="Arial" w:cs="Arial"/>
          <w:iCs/>
          <w:sz w:val="22"/>
          <w:szCs w:val="22"/>
          <w:lang w:val="en-ZA"/>
        </w:rPr>
      </w:pPr>
      <w:r w:rsidRPr="00403DF5">
        <w:rPr>
          <w:rFonts w:ascii="Arial" w:hAnsi="Arial" w:cs="Arial"/>
          <w:iCs/>
          <w:sz w:val="22"/>
          <w:szCs w:val="22"/>
          <w:lang w:val="en-ZA"/>
        </w:rPr>
        <w:t>To provide further clarification on the inclusion of new fug</w:t>
      </w:r>
      <w:r w:rsidR="730375F2" w:rsidRPr="00403DF5">
        <w:rPr>
          <w:rFonts w:ascii="Arial" w:hAnsi="Arial" w:cs="Arial"/>
          <w:iCs/>
          <w:sz w:val="22"/>
          <w:szCs w:val="22"/>
          <w:lang w:val="en-ZA"/>
        </w:rPr>
        <w:t>i</w:t>
      </w:r>
      <w:r w:rsidRPr="00403DF5">
        <w:rPr>
          <w:rFonts w:ascii="Arial" w:hAnsi="Arial" w:cs="Arial"/>
          <w:iCs/>
          <w:sz w:val="22"/>
          <w:szCs w:val="22"/>
          <w:lang w:val="en-ZA"/>
        </w:rPr>
        <w:t>tive emissions activities, it is proposed that Schedule 2 of the Carbon Tax Act is amen</w:t>
      </w:r>
      <w:r w:rsidR="2DBF07C5" w:rsidRPr="00403DF5">
        <w:rPr>
          <w:rFonts w:ascii="Arial" w:hAnsi="Arial" w:cs="Arial"/>
          <w:iCs/>
          <w:sz w:val="22"/>
          <w:szCs w:val="22"/>
          <w:lang w:val="en-ZA"/>
        </w:rPr>
        <w:t>ded to insert</w:t>
      </w:r>
      <w:r w:rsidR="71320A54" w:rsidRPr="00403DF5">
        <w:rPr>
          <w:rFonts w:ascii="Arial" w:hAnsi="Arial" w:cs="Arial"/>
          <w:iCs/>
          <w:sz w:val="22"/>
          <w:szCs w:val="22"/>
          <w:lang w:val="en-ZA"/>
        </w:rPr>
        <w:t xml:space="preserve"> new activities in relation to IPCC code for </w:t>
      </w:r>
      <w:r w:rsidR="0569197F" w:rsidRPr="00403DF5">
        <w:rPr>
          <w:rFonts w:ascii="Arial" w:hAnsi="Arial" w:cs="Arial"/>
          <w:iCs/>
          <w:sz w:val="22"/>
          <w:szCs w:val="22"/>
          <w:lang w:val="en-ZA"/>
        </w:rPr>
        <w:t xml:space="preserve">1B1civ: Coal to Liquids and Gas to Liquids. </w:t>
      </w:r>
      <w:r w:rsidR="2DBF07C5" w:rsidRPr="00403DF5">
        <w:rPr>
          <w:rFonts w:ascii="Arial" w:hAnsi="Arial" w:cs="Arial"/>
          <w:iCs/>
          <w:sz w:val="22"/>
          <w:szCs w:val="22"/>
          <w:lang w:val="en-ZA"/>
        </w:rPr>
        <w:t xml:space="preserve"> </w:t>
      </w:r>
      <w:r w:rsidRPr="00403DF5">
        <w:rPr>
          <w:rFonts w:ascii="Arial" w:hAnsi="Arial" w:cs="Arial"/>
          <w:iCs/>
          <w:sz w:val="22"/>
          <w:szCs w:val="22"/>
          <w:lang w:val="en-ZA"/>
        </w:rPr>
        <w:t xml:space="preserve">    </w:t>
      </w:r>
    </w:p>
    <w:p w14:paraId="1BD8B290" w14:textId="7307634B" w:rsidR="251BE3F0" w:rsidRPr="003F111D" w:rsidRDefault="251BE3F0" w:rsidP="251BE3F0">
      <w:pPr>
        <w:pStyle w:val="BodyText"/>
        <w:spacing w:before="164"/>
        <w:jc w:val="both"/>
        <w:rPr>
          <w:lang w:val="en-ZA"/>
        </w:rPr>
      </w:pPr>
    </w:p>
    <w:p w14:paraId="61271DB0" w14:textId="1CFCCF75" w:rsidR="55C40ED4" w:rsidRPr="00EB4FA2" w:rsidRDefault="55C40ED4" w:rsidP="004E5BD4">
      <w:pPr>
        <w:pStyle w:val="BodyText"/>
        <w:spacing w:line="271" w:lineRule="auto"/>
        <w:ind w:left="492" w:right="153"/>
        <w:jc w:val="both"/>
        <w:rPr>
          <w:rFonts w:ascii="Arial" w:hAnsi="Arial" w:cs="Arial"/>
          <w:i/>
          <w:sz w:val="22"/>
          <w:szCs w:val="22"/>
          <w:lang w:val="en-ZA"/>
        </w:rPr>
      </w:pPr>
      <w:r w:rsidRPr="003F111D">
        <w:rPr>
          <w:rFonts w:ascii="Arial" w:hAnsi="Arial" w:cs="Arial"/>
          <w:i/>
          <w:sz w:val="22"/>
          <w:szCs w:val="22"/>
          <w:lang w:val="en-ZA"/>
        </w:rPr>
        <w:t>Comment:</w:t>
      </w:r>
      <w:r w:rsidR="0ED098A6" w:rsidRPr="003F111D">
        <w:rPr>
          <w:rFonts w:ascii="Arial" w:hAnsi="Arial" w:cs="Arial"/>
          <w:i/>
          <w:sz w:val="22"/>
          <w:szCs w:val="22"/>
          <w:lang w:val="en-ZA"/>
        </w:rPr>
        <w:t xml:space="preserve"> </w:t>
      </w:r>
      <w:r w:rsidR="5B2FB283" w:rsidRPr="00403DF5">
        <w:rPr>
          <w:rFonts w:ascii="Arial" w:hAnsi="Arial" w:cs="Arial"/>
          <w:iCs/>
          <w:sz w:val="22"/>
          <w:szCs w:val="22"/>
          <w:lang w:val="en-ZA"/>
        </w:rPr>
        <w:t>The fugitive emission factors must be aligned with the DFFE Methodological Guidelines</w:t>
      </w:r>
      <w:r w:rsidR="4B9F330F" w:rsidRPr="00403DF5">
        <w:rPr>
          <w:rFonts w:ascii="Arial" w:hAnsi="Arial" w:cs="Arial"/>
          <w:iCs/>
          <w:sz w:val="22"/>
          <w:szCs w:val="22"/>
          <w:lang w:val="en-ZA"/>
        </w:rPr>
        <w:t xml:space="preserve">. </w:t>
      </w:r>
      <w:r w:rsidR="43CFCCED" w:rsidRPr="00403DF5">
        <w:rPr>
          <w:rFonts w:ascii="Arial" w:hAnsi="Arial" w:cs="Arial"/>
          <w:iCs/>
          <w:sz w:val="22"/>
          <w:szCs w:val="22"/>
          <w:lang w:val="en-ZA"/>
        </w:rPr>
        <w:t>Alignment</w:t>
      </w:r>
      <w:r w:rsidR="4B9F330F" w:rsidRPr="00403DF5">
        <w:rPr>
          <w:rFonts w:ascii="Arial" w:hAnsi="Arial" w:cs="Arial"/>
          <w:iCs/>
          <w:sz w:val="22"/>
          <w:szCs w:val="22"/>
          <w:lang w:val="en-ZA"/>
        </w:rPr>
        <w:t xml:space="preserve"> is important to ensure </w:t>
      </w:r>
      <w:r w:rsidR="0DFD7704" w:rsidRPr="00403DF5">
        <w:rPr>
          <w:rFonts w:ascii="Arial" w:hAnsi="Arial" w:cs="Arial"/>
          <w:iCs/>
          <w:sz w:val="22"/>
          <w:szCs w:val="22"/>
          <w:lang w:val="en-ZA"/>
        </w:rPr>
        <w:t xml:space="preserve">coordinated </w:t>
      </w:r>
      <w:r w:rsidR="4B9F330F" w:rsidRPr="00403DF5">
        <w:rPr>
          <w:rFonts w:ascii="Arial" w:hAnsi="Arial" w:cs="Arial"/>
          <w:iCs/>
          <w:sz w:val="22"/>
          <w:szCs w:val="22"/>
          <w:lang w:val="en-ZA"/>
        </w:rPr>
        <w:t>policy implementation</w:t>
      </w:r>
      <w:r w:rsidR="1B85304C" w:rsidRPr="00403DF5">
        <w:rPr>
          <w:rFonts w:ascii="Arial" w:hAnsi="Arial" w:cs="Arial"/>
          <w:iCs/>
          <w:sz w:val="22"/>
          <w:szCs w:val="22"/>
          <w:lang w:val="en-ZA"/>
        </w:rPr>
        <w:t xml:space="preserve"> in emissions disclosure and reporting transparency.</w:t>
      </w:r>
      <w:r w:rsidR="1B8C5403" w:rsidRPr="00403DF5">
        <w:rPr>
          <w:rFonts w:ascii="Arial" w:hAnsi="Arial" w:cs="Arial"/>
          <w:iCs/>
          <w:sz w:val="22"/>
          <w:szCs w:val="22"/>
          <w:lang w:val="en-ZA"/>
        </w:rPr>
        <w:t xml:space="preserve"> Using lower emission factors </w:t>
      </w:r>
      <w:r w:rsidR="78E868CE" w:rsidRPr="00403DF5">
        <w:rPr>
          <w:rFonts w:ascii="Arial" w:hAnsi="Arial" w:cs="Arial"/>
          <w:iCs/>
          <w:sz w:val="22"/>
          <w:szCs w:val="22"/>
          <w:lang w:val="en-ZA"/>
        </w:rPr>
        <w:t xml:space="preserve">will not be consistent with the fugitive emissions reported </w:t>
      </w:r>
      <w:r w:rsidR="25D31EFF" w:rsidRPr="00403DF5">
        <w:rPr>
          <w:rFonts w:ascii="Arial" w:hAnsi="Arial" w:cs="Arial"/>
          <w:iCs/>
          <w:sz w:val="22"/>
          <w:szCs w:val="22"/>
          <w:lang w:val="en-ZA"/>
        </w:rPr>
        <w:t>to the DFFE or the Nationally Determined Contribution reports.</w:t>
      </w:r>
      <w:r w:rsidR="25D31EFF" w:rsidRPr="003F111D">
        <w:rPr>
          <w:rFonts w:ascii="Arial" w:hAnsi="Arial" w:cs="Arial"/>
          <w:i/>
          <w:sz w:val="22"/>
          <w:szCs w:val="22"/>
          <w:lang w:val="en-ZA"/>
        </w:rPr>
        <w:t xml:space="preserve">  </w:t>
      </w:r>
    </w:p>
    <w:p w14:paraId="384D3CA3" w14:textId="77777777" w:rsidR="00CA1F11" w:rsidRPr="003F111D" w:rsidRDefault="00CA1F11" w:rsidP="003F111D">
      <w:pPr>
        <w:pStyle w:val="BodyText"/>
        <w:spacing w:line="271" w:lineRule="auto"/>
        <w:ind w:left="492" w:right="153"/>
        <w:jc w:val="both"/>
        <w:rPr>
          <w:rFonts w:ascii="Arial" w:hAnsi="Arial" w:cs="Arial"/>
          <w:i/>
          <w:sz w:val="22"/>
          <w:szCs w:val="22"/>
          <w:lang w:val="en-ZA"/>
        </w:rPr>
      </w:pPr>
    </w:p>
    <w:p w14:paraId="51198404" w14:textId="4F1B482D" w:rsidR="55C40ED4" w:rsidRPr="00EB4FA2" w:rsidRDefault="55C40ED4" w:rsidP="00CA1F11">
      <w:pPr>
        <w:pStyle w:val="BodyText"/>
        <w:spacing w:line="271" w:lineRule="auto"/>
        <w:ind w:left="831" w:right="152"/>
        <w:jc w:val="both"/>
        <w:rPr>
          <w:rFonts w:ascii="Arial" w:hAnsi="Arial" w:cs="Arial"/>
          <w:i/>
          <w:sz w:val="22"/>
          <w:szCs w:val="22"/>
          <w:lang w:val="en-ZA"/>
        </w:rPr>
      </w:pPr>
      <w:r w:rsidRPr="003F111D">
        <w:rPr>
          <w:rFonts w:ascii="Arial" w:hAnsi="Arial" w:cs="Arial"/>
          <w:i/>
          <w:sz w:val="22"/>
          <w:szCs w:val="22"/>
          <w:lang w:val="en-ZA"/>
        </w:rPr>
        <w:t>Response:</w:t>
      </w:r>
      <w:r w:rsidR="4ECD5342" w:rsidRPr="003F111D">
        <w:rPr>
          <w:rFonts w:ascii="Arial" w:hAnsi="Arial" w:cs="Arial"/>
          <w:i/>
          <w:sz w:val="22"/>
          <w:szCs w:val="22"/>
          <w:lang w:val="en-ZA"/>
        </w:rPr>
        <w:t xml:space="preserve"> </w:t>
      </w:r>
      <w:r w:rsidR="52B1A56A" w:rsidRPr="00403DF5">
        <w:rPr>
          <w:rFonts w:ascii="Arial" w:hAnsi="Arial" w:cs="Arial"/>
          <w:iCs/>
          <w:sz w:val="22"/>
          <w:szCs w:val="22"/>
          <w:u w:val="single"/>
          <w:lang w:val="en-ZA"/>
        </w:rPr>
        <w:t>Accepted</w:t>
      </w:r>
      <w:r w:rsidR="52B1A56A" w:rsidRPr="00403DF5">
        <w:rPr>
          <w:rFonts w:ascii="Arial" w:hAnsi="Arial" w:cs="Arial"/>
          <w:iCs/>
          <w:sz w:val="22"/>
          <w:szCs w:val="22"/>
          <w:lang w:val="en-ZA"/>
        </w:rPr>
        <w:t>.</w:t>
      </w:r>
      <w:r w:rsidR="5724DBC7" w:rsidRPr="00403DF5">
        <w:rPr>
          <w:rFonts w:ascii="Arial" w:hAnsi="Arial" w:cs="Arial"/>
          <w:iCs/>
          <w:sz w:val="22"/>
          <w:szCs w:val="22"/>
          <w:lang w:val="en-ZA"/>
        </w:rPr>
        <w:t xml:space="preserve"> </w:t>
      </w:r>
      <w:r w:rsidR="6ED41E93" w:rsidRPr="00403DF5">
        <w:rPr>
          <w:rFonts w:ascii="Arial" w:hAnsi="Arial" w:cs="Arial"/>
          <w:iCs/>
          <w:sz w:val="22"/>
          <w:szCs w:val="22"/>
          <w:lang w:val="en-ZA"/>
        </w:rPr>
        <w:t>Amendments were made in 2023 TLAA to correct the emission factors in Table 2 for which the multiplication by 1000 would result in an overestimation of the carbon tax liability for some activities. This approach was taken as it was the least disruptive from an administrative and legal perspective.</w:t>
      </w:r>
    </w:p>
    <w:p w14:paraId="229C0949" w14:textId="77777777" w:rsidR="00CA1F11" w:rsidRPr="003F111D" w:rsidRDefault="00CA1F11" w:rsidP="003F111D">
      <w:pPr>
        <w:pStyle w:val="BodyText"/>
        <w:spacing w:line="271" w:lineRule="auto"/>
        <w:ind w:left="831" w:right="152"/>
        <w:jc w:val="both"/>
        <w:rPr>
          <w:rFonts w:ascii="Arial" w:hAnsi="Arial" w:cs="Arial"/>
          <w:i/>
          <w:sz w:val="22"/>
          <w:szCs w:val="22"/>
          <w:lang w:val="en-ZA"/>
        </w:rPr>
      </w:pPr>
    </w:p>
    <w:p w14:paraId="1EA12CDB" w14:textId="407623DC" w:rsidR="6ED41E93" w:rsidRDefault="6ED41E93" w:rsidP="003F111D">
      <w:pPr>
        <w:pStyle w:val="BodyText"/>
        <w:spacing w:line="271" w:lineRule="auto"/>
        <w:ind w:left="831" w:right="152"/>
        <w:jc w:val="both"/>
        <w:rPr>
          <w:rFonts w:ascii="Arial" w:hAnsi="Arial" w:cs="Arial"/>
          <w:iCs/>
          <w:sz w:val="22"/>
          <w:szCs w:val="22"/>
          <w:lang w:val="en-ZA"/>
        </w:rPr>
      </w:pPr>
      <w:r w:rsidRPr="00403DF5">
        <w:rPr>
          <w:rFonts w:ascii="Arial" w:hAnsi="Arial" w:cs="Arial"/>
          <w:iCs/>
          <w:sz w:val="22"/>
          <w:szCs w:val="22"/>
          <w:lang w:val="en-ZA"/>
        </w:rPr>
        <w:t>After consultation with the DFFE, the division by 1000 will be reversed for certain activities for which the amendment was incorrect.</w:t>
      </w:r>
      <w:r w:rsidR="0DE58060" w:rsidRPr="00403DF5">
        <w:rPr>
          <w:rFonts w:ascii="Arial" w:hAnsi="Arial" w:cs="Arial"/>
          <w:iCs/>
          <w:sz w:val="22"/>
          <w:szCs w:val="22"/>
          <w:lang w:val="en-ZA"/>
        </w:rPr>
        <w:t xml:space="preserve"> This amendment will be implemented for the</w:t>
      </w:r>
      <w:r w:rsidR="426D9879" w:rsidRPr="00403DF5">
        <w:rPr>
          <w:rFonts w:ascii="Arial" w:hAnsi="Arial" w:cs="Arial"/>
          <w:iCs/>
          <w:sz w:val="22"/>
          <w:szCs w:val="22"/>
          <w:lang w:val="en-ZA"/>
        </w:rPr>
        <w:t xml:space="preserve"> </w:t>
      </w:r>
      <w:r w:rsidR="281D16A4" w:rsidRPr="00403DF5">
        <w:rPr>
          <w:rFonts w:ascii="Arial" w:hAnsi="Arial" w:cs="Arial"/>
          <w:iCs/>
          <w:sz w:val="22"/>
          <w:szCs w:val="22"/>
          <w:lang w:val="en-ZA"/>
        </w:rPr>
        <w:t>following</w:t>
      </w:r>
      <w:r w:rsidR="38FE7214" w:rsidRPr="00403DF5">
        <w:rPr>
          <w:rFonts w:ascii="Arial" w:hAnsi="Arial" w:cs="Arial"/>
          <w:iCs/>
          <w:sz w:val="22"/>
          <w:szCs w:val="22"/>
          <w:lang w:val="en-ZA"/>
        </w:rPr>
        <w:t xml:space="preserve"> </w:t>
      </w:r>
      <w:r w:rsidR="2FD7C4A0" w:rsidRPr="00403DF5">
        <w:rPr>
          <w:rFonts w:ascii="Arial" w:hAnsi="Arial" w:cs="Arial"/>
          <w:iCs/>
          <w:sz w:val="22"/>
          <w:szCs w:val="22"/>
          <w:lang w:val="en-ZA"/>
        </w:rPr>
        <w:t>activities</w:t>
      </w:r>
      <w:r w:rsidR="38FE7214" w:rsidRPr="00403DF5">
        <w:rPr>
          <w:rFonts w:ascii="Arial" w:hAnsi="Arial" w:cs="Arial"/>
          <w:iCs/>
          <w:sz w:val="22"/>
          <w:szCs w:val="22"/>
          <w:lang w:val="en-ZA"/>
        </w:rPr>
        <w:t xml:space="preserve">; </w:t>
      </w:r>
      <w:r w:rsidR="426D9879" w:rsidRPr="00403DF5">
        <w:rPr>
          <w:rFonts w:ascii="Arial" w:hAnsi="Arial" w:cs="Arial"/>
          <w:iCs/>
          <w:sz w:val="22"/>
          <w:szCs w:val="22"/>
          <w:lang w:val="en-ZA"/>
        </w:rPr>
        <w:t>C</w:t>
      </w:r>
      <w:r w:rsidR="0DE58060" w:rsidRPr="00403DF5">
        <w:rPr>
          <w:rFonts w:ascii="Arial" w:hAnsi="Arial" w:cs="Arial"/>
          <w:iCs/>
          <w:sz w:val="22"/>
          <w:szCs w:val="22"/>
          <w:lang w:val="en-ZA"/>
        </w:rPr>
        <w:t xml:space="preserve">oal </w:t>
      </w:r>
      <w:r w:rsidR="2A7BB2C0" w:rsidRPr="00403DF5">
        <w:rPr>
          <w:rFonts w:ascii="Arial" w:hAnsi="Arial" w:cs="Arial"/>
          <w:iCs/>
          <w:sz w:val="22"/>
          <w:szCs w:val="22"/>
          <w:lang w:val="en-ZA"/>
        </w:rPr>
        <w:t>M</w:t>
      </w:r>
      <w:r w:rsidR="0DE58060" w:rsidRPr="00403DF5">
        <w:rPr>
          <w:rFonts w:ascii="Arial" w:hAnsi="Arial" w:cs="Arial"/>
          <w:iCs/>
          <w:sz w:val="22"/>
          <w:szCs w:val="22"/>
          <w:lang w:val="en-ZA"/>
        </w:rPr>
        <w:t xml:space="preserve">ining and </w:t>
      </w:r>
      <w:r w:rsidR="7FAD47D4" w:rsidRPr="00403DF5">
        <w:rPr>
          <w:rFonts w:ascii="Arial" w:hAnsi="Arial" w:cs="Arial"/>
          <w:iCs/>
          <w:sz w:val="22"/>
          <w:szCs w:val="22"/>
          <w:lang w:val="en-ZA"/>
        </w:rPr>
        <w:t>H</w:t>
      </w:r>
      <w:r w:rsidR="0DE58060" w:rsidRPr="00403DF5">
        <w:rPr>
          <w:rFonts w:ascii="Arial" w:hAnsi="Arial" w:cs="Arial"/>
          <w:iCs/>
          <w:sz w:val="22"/>
          <w:szCs w:val="22"/>
          <w:lang w:val="en-ZA"/>
        </w:rPr>
        <w:t xml:space="preserve">andling, </w:t>
      </w:r>
      <w:r w:rsidR="3B402E9A" w:rsidRPr="00403DF5">
        <w:rPr>
          <w:rFonts w:ascii="Arial" w:hAnsi="Arial" w:cs="Arial"/>
          <w:iCs/>
          <w:sz w:val="22"/>
          <w:szCs w:val="22"/>
          <w:lang w:val="en-ZA"/>
        </w:rPr>
        <w:t>C</w:t>
      </w:r>
      <w:r w:rsidR="0DE58060" w:rsidRPr="00403DF5">
        <w:rPr>
          <w:rFonts w:ascii="Arial" w:hAnsi="Arial" w:cs="Arial"/>
          <w:iCs/>
          <w:sz w:val="22"/>
          <w:szCs w:val="22"/>
          <w:lang w:val="en-ZA"/>
        </w:rPr>
        <w:t xml:space="preserve">harcoal </w:t>
      </w:r>
      <w:r w:rsidR="56BAD530" w:rsidRPr="00403DF5">
        <w:rPr>
          <w:rFonts w:ascii="Arial" w:hAnsi="Arial" w:cs="Arial"/>
          <w:iCs/>
          <w:sz w:val="22"/>
          <w:szCs w:val="22"/>
          <w:lang w:val="en-ZA"/>
        </w:rPr>
        <w:t>P</w:t>
      </w:r>
      <w:r w:rsidR="0DE58060" w:rsidRPr="00403DF5">
        <w:rPr>
          <w:rFonts w:ascii="Arial" w:hAnsi="Arial" w:cs="Arial"/>
          <w:iCs/>
          <w:sz w:val="22"/>
          <w:szCs w:val="22"/>
          <w:lang w:val="en-ZA"/>
        </w:rPr>
        <w:t>roduction</w:t>
      </w:r>
      <w:r w:rsidR="39D1F883" w:rsidRPr="00403DF5">
        <w:rPr>
          <w:rFonts w:ascii="Arial" w:hAnsi="Arial" w:cs="Arial"/>
          <w:iCs/>
          <w:sz w:val="22"/>
          <w:szCs w:val="22"/>
          <w:lang w:val="en-ZA"/>
        </w:rPr>
        <w:t>,</w:t>
      </w:r>
      <w:r w:rsidR="0DE58060" w:rsidRPr="00403DF5">
        <w:rPr>
          <w:rFonts w:ascii="Arial" w:hAnsi="Arial" w:cs="Arial"/>
          <w:iCs/>
          <w:sz w:val="22"/>
          <w:szCs w:val="22"/>
          <w:lang w:val="en-ZA"/>
        </w:rPr>
        <w:t xml:space="preserve"> </w:t>
      </w:r>
      <w:r w:rsidR="432139A8" w:rsidRPr="00403DF5">
        <w:rPr>
          <w:rFonts w:ascii="Arial" w:hAnsi="Arial" w:cs="Arial"/>
          <w:iCs/>
          <w:sz w:val="22"/>
          <w:szCs w:val="22"/>
          <w:lang w:val="en-ZA"/>
        </w:rPr>
        <w:t>and</w:t>
      </w:r>
      <w:r w:rsidR="42DA1629" w:rsidRPr="00403DF5">
        <w:rPr>
          <w:rFonts w:ascii="Arial" w:hAnsi="Arial" w:cs="Arial"/>
          <w:iCs/>
          <w:sz w:val="22"/>
          <w:szCs w:val="22"/>
          <w:lang w:val="en-ZA"/>
        </w:rPr>
        <w:t xml:space="preserve"> Gas Transmission &amp; Storage.  </w:t>
      </w:r>
    </w:p>
    <w:p w14:paraId="721303EA" w14:textId="77777777" w:rsidR="00B6781F" w:rsidRPr="00403DF5" w:rsidRDefault="00B6781F" w:rsidP="003F111D">
      <w:pPr>
        <w:pStyle w:val="BodyText"/>
        <w:spacing w:line="271" w:lineRule="auto"/>
        <w:ind w:left="831" w:right="152"/>
        <w:jc w:val="both"/>
        <w:rPr>
          <w:rFonts w:ascii="Arial" w:hAnsi="Arial" w:cs="Arial"/>
          <w:iCs/>
          <w:sz w:val="22"/>
          <w:szCs w:val="22"/>
          <w:lang w:val="en-ZA"/>
        </w:rPr>
      </w:pPr>
    </w:p>
    <w:p w14:paraId="0D71992E" w14:textId="44423A8C" w:rsidR="00375F5E" w:rsidRPr="00EB4FA2" w:rsidRDefault="6ED41E93" w:rsidP="003F111D">
      <w:pPr>
        <w:pStyle w:val="BodyText"/>
        <w:spacing w:line="271" w:lineRule="auto"/>
        <w:ind w:left="831" w:right="152"/>
        <w:jc w:val="both"/>
        <w:rPr>
          <w:sz w:val="22"/>
          <w:szCs w:val="22"/>
          <w:lang w:val="en-ZA"/>
        </w:rPr>
      </w:pPr>
      <w:r w:rsidRPr="00403DF5">
        <w:rPr>
          <w:rFonts w:ascii="Arial" w:hAnsi="Arial" w:cs="Arial"/>
          <w:iCs/>
          <w:sz w:val="22"/>
          <w:szCs w:val="22"/>
          <w:lang w:val="en-ZA"/>
        </w:rPr>
        <w:t>Th</w:t>
      </w:r>
      <w:r w:rsidR="35158441" w:rsidRPr="00403DF5">
        <w:rPr>
          <w:rFonts w:ascii="Arial" w:hAnsi="Arial" w:cs="Arial"/>
          <w:iCs/>
          <w:sz w:val="22"/>
          <w:szCs w:val="22"/>
          <w:lang w:val="en-ZA"/>
        </w:rPr>
        <w:t>e amendment of the fugitive emission factors</w:t>
      </w:r>
      <w:r w:rsidRPr="00403DF5">
        <w:rPr>
          <w:rFonts w:ascii="Arial" w:hAnsi="Arial" w:cs="Arial"/>
          <w:iCs/>
          <w:sz w:val="22"/>
          <w:szCs w:val="22"/>
          <w:lang w:val="en-ZA"/>
        </w:rPr>
        <w:t xml:space="preserve"> will allow for an accurate estimation of the carbon tax liability. </w:t>
      </w:r>
      <w:bookmarkStart w:id="43" w:name="_Hlk146738106"/>
    </w:p>
    <w:p w14:paraId="00995E24" w14:textId="77777777" w:rsidR="00375F5E" w:rsidRPr="00EB4FA2" w:rsidRDefault="454DE0F2" w:rsidP="00F027A2">
      <w:pPr>
        <w:pStyle w:val="1Section"/>
        <w:numPr>
          <w:ilvl w:val="0"/>
          <w:numId w:val="37"/>
        </w:numPr>
        <w:spacing w:line="276" w:lineRule="auto"/>
        <w:ind w:left="450" w:hanging="360"/>
      </w:pPr>
      <w:bookmarkStart w:id="44" w:name="_TOC_250029"/>
      <w:bookmarkStart w:id="45" w:name="_Toc189212104"/>
      <w:bookmarkStart w:id="46" w:name="_Hlk146697696"/>
      <w:bookmarkEnd w:id="43"/>
      <w:r w:rsidRPr="00EB4FA2">
        <w:t xml:space="preserve">INCOME TAX: INDIVIDUALS, SAVINGS AND </w:t>
      </w:r>
      <w:bookmarkEnd w:id="44"/>
      <w:r w:rsidRPr="00EB4FA2">
        <w:t>EMPLOYMENT</w:t>
      </w:r>
      <w:bookmarkEnd w:id="45"/>
    </w:p>
    <w:bookmarkEnd w:id="46"/>
    <w:p w14:paraId="16BD3F4E" w14:textId="77777777" w:rsidR="00375F5E" w:rsidRPr="00EB4FA2" w:rsidRDefault="00375F5E" w:rsidP="251BE3F0">
      <w:pPr>
        <w:pStyle w:val="BodyText"/>
        <w:rPr>
          <w:rFonts w:ascii="Arial"/>
          <w:b/>
          <w:bCs/>
          <w:sz w:val="24"/>
          <w:szCs w:val="24"/>
          <w:lang w:val="en-ZA"/>
        </w:rPr>
      </w:pPr>
    </w:p>
    <w:p w14:paraId="75325DF6" w14:textId="27DA7CBA" w:rsidR="00375F5E" w:rsidRPr="003F111D" w:rsidRDefault="66E24475" w:rsidP="003F111D">
      <w:pPr>
        <w:pStyle w:val="Heading3"/>
        <w:numPr>
          <w:ilvl w:val="1"/>
          <w:numId w:val="37"/>
        </w:numPr>
        <w:tabs>
          <w:tab w:val="left" w:pos="961"/>
        </w:tabs>
        <w:spacing w:before="159"/>
        <w:rPr>
          <w:sz w:val="22"/>
          <w:szCs w:val="22"/>
          <w:lang w:val="en-ZA"/>
        </w:rPr>
      </w:pPr>
      <w:bookmarkStart w:id="47" w:name="_Toc189212105"/>
      <w:r w:rsidRPr="003F111D">
        <w:rPr>
          <w:sz w:val="22"/>
          <w:szCs w:val="22"/>
          <w:lang w:val="en-ZA"/>
        </w:rPr>
        <w:t>Curbing the abuse of the Employment Tax Incentive Scheme</w:t>
      </w:r>
      <w:bookmarkEnd w:id="47"/>
    </w:p>
    <w:p w14:paraId="284BAEC7" w14:textId="43FFE111" w:rsidR="00375F5E" w:rsidRPr="003F111D" w:rsidRDefault="454DE0F2" w:rsidP="003F111D">
      <w:pPr>
        <w:pStyle w:val="BodyText"/>
        <w:spacing w:before="167"/>
        <w:ind w:left="492" w:right="196"/>
        <w:jc w:val="both"/>
        <w:rPr>
          <w:rFonts w:ascii="Arial" w:hAnsi="Arial" w:cs="Arial"/>
          <w:sz w:val="22"/>
          <w:szCs w:val="22"/>
          <w:lang w:val="en-ZA"/>
        </w:rPr>
      </w:pPr>
      <w:r w:rsidRPr="003F111D">
        <w:rPr>
          <w:rFonts w:ascii="Arial" w:hAnsi="Arial" w:cs="Arial"/>
          <w:sz w:val="22"/>
          <w:szCs w:val="22"/>
          <w:lang w:val="en-ZA"/>
        </w:rPr>
        <w:t xml:space="preserve">(Main reference: </w:t>
      </w:r>
      <w:r w:rsidR="725E22D2" w:rsidRPr="003F111D">
        <w:rPr>
          <w:rFonts w:ascii="Arial" w:hAnsi="Arial" w:cs="Arial"/>
          <w:sz w:val="22"/>
          <w:szCs w:val="22"/>
          <w:lang w:val="en-ZA"/>
        </w:rPr>
        <w:t xml:space="preserve">Sections 1(1) and 5(3) of the Employment Tax Incentive Act, No. 26 of 2013 (“the ETI Act”): </w:t>
      </w:r>
      <w:r w:rsidR="2D7E59F0" w:rsidRPr="003F111D">
        <w:rPr>
          <w:rFonts w:ascii="Arial" w:hAnsi="Arial" w:cs="Arial"/>
          <w:sz w:val="22"/>
          <w:szCs w:val="22"/>
          <w:lang w:val="en-ZA"/>
        </w:rPr>
        <w:t>Clause</w:t>
      </w:r>
      <w:r w:rsidR="2EBB43C5" w:rsidRPr="003F111D">
        <w:rPr>
          <w:rFonts w:ascii="Arial" w:hAnsi="Arial" w:cs="Arial"/>
          <w:sz w:val="22"/>
          <w:szCs w:val="22"/>
          <w:lang w:val="en-ZA"/>
        </w:rPr>
        <w:t xml:space="preserve"> 56 and 57 of the Draft TLAB)</w:t>
      </w:r>
    </w:p>
    <w:p w14:paraId="7A7CC2A9" w14:textId="77777777" w:rsidR="00375F5E" w:rsidRPr="00EB4FA2" w:rsidRDefault="00375F5E">
      <w:pPr>
        <w:pStyle w:val="BodyText"/>
        <w:spacing w:before="7"/>
        <w:rPr>
          <w:lang w:val="en-ZA"/>
        </w:rPr>
      </w:pPr>
    </w:p>
    <w:p w14:paraId="34FF8C29" w14:textId="6F81AFB9" w:rsidR="7B16B728" w:rsidRPr="00403DF5" w:rsidRDefault="7B16B728" w:rsidP="00403DF5">
      <w:pPr>
        <w:pStyle w:val="BodyText"/>
        <w:spacing w:line="271" w:lineRule="auto"/>
        <w:ind w:left="831" w:right="152"/>
        <w:jc w:val="both"/>
        <w:rPr>
          <w:rFonts w:ascii="Arial" w:hAnsi="Arial" w:cs="Arial"/>
          <w:iCs/>
          <w:sz w:val="22"/>
          <w:szCs w:val="22"/>
          <w:lang w:val="en-ZA"/>
        </w:rPr>
      </w:pPr>
      <w:r w:rsidRPr="00403DF5">
        <w:rPr>
          <w:rFonts w:ascii="Arial" w:hAnsi="Arial" w:cs="Arial"/>
          <w:iCs/>
          <w:sz w:val="22"/>
          <w:szCs w:val="22"/>
          <w:lang w:val="en-ZA"/>
        </w:rPr>
        <w:t>Changes were made to the Employment Tax Incentive Act (2013) in 2021 and 2023 to curb abuse of the employment tax incentive from aggressive tax schemes, which used training institutions to claim the incentive for students. It is proposed that punitive measures to support those amendments be refined in the legislation to address the abusive behaviour of certain taxpayers towards the incentive.</w:t>
      </w:r>
    </w:p>
    <w:p w14:paraId="5E63AFCF" w14:textId="77777777" w:rsidR="002946E1" w:rsidRPr="003F111D" w:rsidRDefault="002946E1" w:rsidP="00451234">
      <w:pPr>
        <w:pStyle w:val="BodyText"/>
        <w:spacing w:line="271" w:lineRule="auto"/>
        <w:ind w:right="152"/>
        <w:jc w:val="both"/>
        <w:rPr>
          <w:rFonts w:ascii="Arial"/>
          <w:lang w:val="en-ZA"/>
        </w:rPr>
      </w:pPr>
    </w:p>
    <w:p w14:paraId="1A7F2630" w14:textId="07AA5FC9" w:rsidR="002946E1" w:rsidRPr="003F111D" w:rsidRDefault="701224CD" w:rsidP="251BE3F0">
      <w:pPr>
        <w:pStyle w:val="BodyText"/>
        <w:spacing w:line="271" w:lineRule="auto"/>
        <w:ind w:left="492" w:right="153"/>
        <w:jc w:val="both"/>
        <w:rPr>
          <w:rFonts w:ascii="Arial" w:hAnsi="Arial" w:cs="Arial"/>
          <w:i/>
          <w:sz w:val="22"/>
          <w:szCs w:val="22"/>
          <w:lang w:val="en-ZA"/>
        </w:rPr>
      </w:pPr>
      <w:bookmarkStart w:id="48" w:name="_Hlk147971853"/>
      <w:r w:rsidRPr="003F111D">
        <w:rPr>
          <w:rFonts w:ascii="Arial" w:hAnsi="Arial" w:cs="Arial"/>
          <w:i/>
          <w:sz w:val="22"/>
          <w:szCs w:val="22"/>
          <w:lang w:val="en-ZA"/>
        </w:rPr>
        <w:t xml:space="preserve">Comment: </w:t>
      </w:r>
      <w:r w:rsidR="0A828F1D" w:rsidRPr="00403DF5">
        <w:rPr>
          <w:rFonts w:ascii="Arial" w:hAnsi="Arial" w:cs="Arial"/>
          <w:iCs/>
          <w:sz w:val="22"/>
          <w:szCs w:val="22"/>
          <w:lang w:val="en-ZA"/>
        </w:rPr>
        <w:t>We support measures aimed at curbing abuse of the ETI.</w:t>
      </w:r>
      <w:r w:rsidR="0A828F1D" w:rsidRPr="003F111D">
        <w:rPr>
          <w:rFonts w:ascii="Arial" w:hAnsi="Arial" w:cs="Arial"/>
          <w:i/>
          <w:sz w:val="22"/>
          <w:szCs w:val="22"/>
          <w:lang w:val="en-ZA"/>
        </w:rPr>
        <w:t xml:space="preserve"> </w:t>
      </w:r>
    </w:p>
    <w:p w14:paraId="1AE8CB7E" w14:textId="77777777" w:rsidR="002946E1" w:rsidRPr="00EB4FA2" w:rsidRDefault="002946E1" w:rsidP="251BE3F0">
      <w:pPr>
        <w:pStyle w:val="BodyText"/>
        <w:spacing w:before="2"/>
        <w:rPr>
          <w:sz w:val="24"/>
          <w:szCs w:val="24"/>
          <w:lang w:val="en-ZA"/>
        </w:rPr>
      </w:pPr>
    </w:p>
    <w:p w14:paraId="6FD36242" w14:textId="55A3B757" w:rsidR="002946E1" w:rsidRPr="003F111D" w:rsidRDefault="701224CD" w:rsidP="251BE3F0">
      <w:pPr>
        <w:pStyle w:val="BodyText"/>
        <w:spacing w:line="271" w:lineRule="auto"/>
        <w:ind w:left="831" w:right="152"/>
        <w:jc w:val="both"/>
        <w:rPr>
          <w:rFonts w:ascii="Arial" w:hAnsi="Arial" w:cs="Arial"/>
          <w:i/>
          <w:sz w:val="22"/>
          <w:szCs w:val="22"/>
          <w:lang w:val="en-ZA"/>
        </w:rPr>
      </w:pPr>
      <w:r w:rsidRPr="003F111D">
        <w:rPr>
          <w:rFonts w:ascii="Arial" w:hAnsi="Arial" w:cs="Arial"/>
          <w:i/>
          <w:sz w:val="22"/>
          <w:szCs w:val="22"/>
          <w:lang w:val="en-ZA"/>
        </w:rPr>
        <w:t xml:space="preserve">Response: </w:t>
      </w:r>
      <w:r w:rsidR="6D7A33B4" w:rsidRPr="00403DF5">
        <w:rPr>
          <w:rFonts w:ascii="Arial" w:hAnsi="Arial" w:cs="Arial"/>
          <w:iCs/>
          <w:sz w:val="22"/>
          <w:szCs w:val="22"/>
          <w:u w:val="single"/>
          <w:lang w:val="en-ZA"/>
        </w:rPr>
        <w:t>Noted</w:t>
      </w:r>
      <w:r w:rsidR="41BD796A" w:rsidRPr="00403DF5">
        <w:rPr>
          <w:rFonts w:ascii="Arial" w:hAnsi="Arial" w:cs="Arial"/>
          <w:iCs/>
          <w:sz w:val="22"/>
          <w:szCs w:val="22"/>
          <w:lang w:val="en-ZA"/>
        </w:rPr>
        <w:t xml:space="preserve">. </w:t>
      </w:r>
      <w:r w:rsidR="6ED2E6FD" w:rsidRPr="00403DF5">
        <w:rPr>
          <w:rFonts w:ascii="Arial" w:hAnsi="Arial" w:cs="Arial"/>
          <w:iCs/>
          <w:sz w:val="22"/>
          <w:szCs w:val="22"/>
          <w:lang w:val="en-ZA"/>
        </w:rPr>
        <w:t xml:space="preserve">The additional penalty regime is </w:t>
      </w:r>
      <w:r w:rsidR="634BAB43" w:rsidRPr="00403DF5">
        <w:rPr>
          <w:rFonts w:ascii="Arial" w:hAnsi="Arial" w:cs="Arial"/>
          <w:iCs/>
          <w:sz w:val="22"/>
          <w:szCs w:val="22"/>
          <w:lang w:val="en-ZA"/>
        </w:rPr>
        <w:t>intended</w:t>
      </w:r>
      <w:r w:rsidR="6ED2E6FD" w:rsidRPr="00403DF5">
        <w:rPr>
          <w:rFonts w:ascii="Arial" w:hAnsi="Arial" w:cs="Arial"/>
          <w:iCs/>
          <w:sz w:val="22"/>
          <w:szCs w:val="22"/>
          <w:lang w:val="en-ZA"/>
        </w:rPr>
        <w:t xml:space="preserve"> to encourage compliance with the provisions of the ETI Act and to close loopholes intended to undermine</w:t>
      </w:r>
      <w:r w:rsidR="781772A7" w:rsidRPr="00403DF5">
        <w:rPr>
          <w:rFonts w:ascii="Arial" w:hAnsi="Arial" w:cs="Arial"/>
          <w:iCs/>
          <w:sz w:val="22"/>
          <w:szCs w:val="22"/>
          <w:lang w:val="en-ZA"/>
        </w:rPr>
        <w:t xml:space="preserve"> the objectives of the ETI. </w:t>
      </w:r>
    </w:p>
    <w:bookmarkEnd w:id="48"/>
    <w:p w14:paraId="0DF3320E" w14:textId="0A3713DB" w:rsidR="251BE3F0" w:rsidRPr="003F111D" w:rsidRDefault="251BE3F0" w:rsidP="251BE3F0">
      <w:pPr>
        <w:pStyle w:val="BodyText"/>
        <w:spacing w:line="271" w:lineRule="auto"/>
        <w:ind w:left="831" w:right="152"/>
        <w:jc w:val="both"/>
        <w:rPr>
          <w:rFonts w:ascii="Arial"/>
          <w:lang w:val="en-ZA"/>
        </w:rPr>
      </w:pPr>
    </w:p>
    <w:p w14:paraId="705F5D96" w14:textId="583C7462" w:rsidR="2A48B5F9" w:rsidRPr="003F111D" w:rsidRDefault="2A48B5F9" w:rsidP="251BE3F0">
      <w:pPr>
        <w:pStyle w:val="BodyText"/>
        <w:spacing w:line="271" w:lineRule="auto"/>
        <w:ind w:left="492" w:right="153"/>
        <w:jc w:val="both"/>
        <w:rPr>
          <w:rFonts w:ascii="Arial" w:hAnsi="Arial" w:cs="Arial"/>
          <w:i/>
          <w:sz w:val="22"/>
          <w:szCs w:val="22"/>
          <w:lang w:val="en-ZA"/>
        </w:rPr>
      </w:pPr>
      <w:r w:rsidRPr="003F111D">
        <w:rPr>
          <w:rFonts w:ascii="Arial" w:hAnsi="Arial" w:cs="Arial"/>
          <w:i/>
          <w:sz w:val="22"/>
          <w:szCs w:val="22"/>
          <w:lang w:val="en-ZA"/>
        </w:rPr>
        <w:t xml:space="preserve">Comment: </w:t>
      </w:r>
      <w:r w:rsidR="25E99A16" w:rsidRPr="00403DF5">
        <w:rPr>
          <w:rFonts w:ascii="Arial" w:hAnsi="Arial" w:cs="Arial"/>
          <w:iCs/>
          <w:sz w:val="22"/>
          <w:szCs w:val="22"/>
          <w:lang w:val="en-ZA"/>
        </w:rPr>
        <w:t>It is submitted that the sanctions of the ETI Act be extended to promot</w:t>
      </w:r>
      <w:r w:rsidR="07183368" w:rsidRPr="00403DF5">
        <w:rPr>
          <w:rFonts w:ascii="Arial" w:hAnsi="Arial" w:cs="Arial"/>
          <w:iCs/>
          <w:sz w:val="22"/>
          <w:szCs w:val="22"/>
          <w:lang w:val="en-ZA"/>
        </w:rPr>
        <w:t>e</w:t>
      </w:r>
      <w:r w:rsidR="25E99A16" w:rsidRPr="00403DF5">
        <w:rPr>
          <w:rFonts w:ascii="Arial" w:hAnsi="Arial" w:cs="Arial"/>
          <w:iCs/>
          <w:sz w:val="22"/>
          <w:szCs w:val="22"/>
          <w:lang w:val="en-ZA"/>
        </w:rPr>
        <w:t>rs of aggressive schemes and that employers be offered relief (e.g. penalties and interest)</w:t>
      </w:r>
      <w:r w:rsidR="35230D4C" w:rsidRPr="00403DF5">
        <w:rPr>
          <w:rFonts w:ascii="Arial" w:hAnsi="Arial" w:cs="Arial"/>
          <w:iCs/>
          <w:sz w:val="22"/>
          <w:szCs w:val="22"/>
          <w:lang w:val="en-ZA"/>
        </w:rPr>
        <w:t xml:space="preserve"> should they collaborate with SARS if SARS successfully sanctions and recovers monies from the promoter</w:t>
      </w:r>
      <w:r w:rsidR="60F7597B" w:rsidRPr="00403DF5">
        <w:rPr>
          <w:rFonts w:ascii="Arial" w:hAnsi="Arial" w:cs="Arial"/>
          <w:iCs/>
          <w:sz w:val="22"/>
          <w:szCs w:val="22"/>
          <w:lang w:val="en-ZA"/>
        </w:rPr>
        <w:t>.</w:t>
      </w:r>
      <w:r w:rsidRPr="00403DF5">
        <w:rPr>
          <w:rFonts w:ascii="Arial" w:hAnsi="Arial" w:cs="Arial"/>
          <w:iCs/>
          <w:sz w:val="22"/>
          <w:szCs w:val="22"/>
          <w:lang w:val="en-ZA"/>
        </w:rPr>
        <w:t xml:space="preserve"> </w:t>
      </w:r>
      <w:r w:rsidR="77EF31E5" w:rsidRPr="00403DF5">
        <w:rPr>
          <w:rFonts w:ascii="Arial" w:hAnsi="Arial" w:cs="Arial"/>
          <w:iCs/>
          <w:sz w:val="22"/>
          <w:szCs w:val="22"/>
          <w:lang w:val="en-ZA"/>
        </w:rPr>
        <w:t>In addition, NT should clarify whether this is intended to be an additional penalty over and above other penalties (e.g. understatement penalty).</w:t>
      </w:r>
    </w:p>
    <w:p w14:paraId="62B3F1C8" w14:textId="0416C56F" w:rsidR="251BE3F0" w:rsidRPr="003F111D" w:rsidRDefault="251BE3F0" w:rsidP="251BE3F0">
      <w:pPr>
        <w:pStyle w:val="BodyText"/>
        <w:spacing w:line="271" w:lineRule="auto"/>
        <w:ind w:left="831" w:right="152"/>
        <w:jc w:val="both"/>
        <w:rPr>
          <w:rFonts w:ascii="Arial"/>
          <w:i/>
          <w:iCs/>
          <w:lang w:val="en-ZA"/>
        </w:rPr>
      </w:pPr>
    </w:p>
    <w:p w14:paraId="025F83BB" w14:textId="00E536E6" w:rsidR="2A48B5F9" w:rsidRPr="003F111D" w:rsidRDefault="2A48B5F9" w:rsidP="251BE3F0">
      <w:pPr>
        <w:pStyle w:val="BodyText"/>
        <w:spacing w:line="271" w:lineRule="auto"/>
        <w:ind w:left="831" w:right="152"/>
        <w:jc w:val="both"/>
        <w:rPr>
          <w:rFonts w:ascii="Arial" w:hAnsi="Arial" w:cs="Arial"/>
          <w:i/>
          <w:sz w:val="22"/>
          <w:szCs w:val="22"/>
          <w:lang w:val="en-ZA"/>
        </w:rPr>
      </w:pPr>
      <w:r w:rsidRPr="003F111D">
        <w:rPr>
          <w:rFonts w:ascii="Arial" w:hAnsi="Arial" w:cs="Arial"/>
          <w:i/>
          <w:sz w:val="22"/>
          <w:szCs w:val="22"/>
          <w:lang w:val="en-ZA"/>
        </w:rPr>
        <w:t xml:space="preserve">Response: </w:t>
      </w:r>
      <w:r w:rsidRPr="00403DF5">
        <w:rPr>
          <w:rFonts w:ascii="Arial" w:hAnsi="Arial" w:cs="Arial"/>
          <w:iCs/>
          <w:sz w:val="22"/>
          <w:szCs w:val="22"/>
          <w:u w:val="single"/>
          <w:lang w:val="en-ZA"/>
        </w:rPr>
        <w:t>Noted</w:t>
      </w:r>
      <w:r w:rsidRPr="00403DF5">
        <w:rPr>
          <w:rFonts w:ascii="Arial" w:hAnsi="Arial" w:cs="Arial"/>
          <w:iCs/>
          <w:sz w:val="22"/>
          <w:szCs w:val="22"/>
          <w:lang w:val="en-ZA"/>
        </w:rPr>
        <w:t>.</w:t>
      </w:r>
      <w:r w:rsidR="1132A975" w:rsidRPr="00403DF5">
        <w:rPr>
          <w:rFonts w:ascii="Arial" w:hAnsi="Arial" w:cs="Arial"/>
          <w:iCs/>
          <w:sz w:val="22"/>
          <w:szCs w:val="22"/>
          <w:lang w:val="en-ZA"/>
        </w:rPr>
        <w:t xml:space="preserve"> The penalty provisions </w:t>
      </w:r>
      <w:r w:rsidR="031D698B" w:rsidRPr="00403DF5">
        <w:rPr>
          <w:rFonts w:ascii="Arial" w:hAnsi="Arial" w:cs="Arial"/>
          <w:iCs/>
          <w:sz w:val="22"/>
          <w:szCs w:val="22"/>
          <w:lang w:val="en-ZA"/>
        </w:rPr>
        <w:t>in</w:t>
      </w:r>
      <w:r w:rsidR="1132A975" w:rsidRPr="00403DF5">
        <w:rPr>
          <w:rFonts w:ascii="Arial" w:hAnsi="Arial" w:cs="Arial"/>
          <w:iCs/>
          <w:sz w:val="22"/>
          <w:szCs w:val="22"/>
          <w:lang w:val="en-ZA"/>
        </w:rPr>
        <w:t xml:space="preserve"> the Tax Administration Act (TAA) will apply</w:t>
      </w:r>
      <w:r w:rsidR="0FE9B791" w:rsidRPr="00403DF5">
        <w:rPr>
          <w:rFonts w:ascii="Arial" w:hAnsi="Arial" w:cs="Arial"/>
          <w:iCs/>
          <w:sz w:val="22"/>
          <w:szCs w:val="22"/>
          <w:lang w:val="en-ZA"/>
        </w:rPr>
        <w:t>. Over and above the penalty mechanism in the TAA</w:t>
      </w:r>
      <w:r w:rsidR="78795C00" w:rsidRPr="00403DF5">
        <w:rPr>
          <w:rFonts w:ascii="Arial" w:hAnsi="Arial" w:cs="Arial"/>
          <w:iCs/>
          <w:sz w:val="22"/>
          <w:szCs w:val="22"/>
          <w:lang w:val="en-ZA"/>
        </w:rPr>
        <w:t>,</w:t>
      </w:r>
      <w:r w:rsidR="54F737B4" w:rsidRPr="00403DF5">
        <w:rPr>
          <w:rFonts w:ascii="Arial" w:hAnsi="Arial" w:cs="Arial"/>
          <w:iCs/>
          <w:sz w:val="22"/>
          <w:szCs w:val="22"/>
          <w:lang w:val="en-ZA"/>
        </w:rPr>
        <w:t xml:space="preserve"> the provisions of the new section 5(3) of the ETI Act</w:t>
      </w:r>
      <w:r w:rsidR="0CCB5536" w:rsidRPr="00403DF5">
        <w:rPr>
          <w:rFonts w:ascii="Arial" w:hAnsi="Arial" w:cs="Arial"/>
          <w:iCs/>
          <w:sz w:val="22"/>
          <w:szCs w:val="22"/>
          <w:lang w:val="en-ZA"/>
        </w:rPr>
        <w:t xml:space="preserve"> will apply separately</w:t>
      </w:r>
      <w:r w:rsidR="54F737B4" w:rsidRPr="00403DF5">
        <w:rPr>
          <w:rFonts w:ascii="Arial" w:hAnsi="Arial" w:cs="Arial"/>
          <w:iCs/>
          <w:sz w:val="22"/>
          <w:szCs w:val="22"/>
          <w:lang w:val="en-ZA"/>
        </w:rPr>
        <w:t>.</w:t>
      </w:r>
      <w:r w:rsidR="00983D83" w:rsidRPr="00403DF5">
        <w:rPr>
          <w:rFonts w:ascii="Arial" w:hAnsi="Arial" w:cs="Arial"/>
          <w:iCs/>
          <w:sz w:val="22"/>
          <w:szCs w:val="22"/>
          <w:lang w:val="en-ZA"/>
        </w:rPr>
        <w:t xml:space="preserve"> </w:t>
      </w:r>
      <w:r w:rsidR="39B8914E" w:rsidRPr="00403DF5">
        <w:rPr>
          <w:rFonts w:ascii="Arial" w:hAnsi="Arial" w:cs="Arial"/>
          <w:iCs/>
          <w:sz w:val="22"/>
          <w:szCs w:val="22"/>
          <w:lang w:val="en-ZA"/>
        </w:rPr>
        <w:t xml:space="preserve">As is </w:t>
      </w:r>
      <w:r w:rsidR="4FC3FE7C" w:rsidRPr="00403DF5">
        <w:rPr>
          <w:rFonts w:ascii="Arial" w:hAnsi="Arial" w:cs="Arial"/>
          <w:iCs/>
          <w:sz w:val="22"/>
          <w:szCs w:val="22"/>
          <w:lang w:val="en-ZA"/>
        </w:rPr>
        <w:t>normally</w:t>
      </w:r>
      <w:r w:rsidR="39B8914E" w:rsidRPr="00403DF5">
        <w:rPr>
          <w:rFonts w:ascii="Arial" w:hAnsi="Arial" w:cs="Arial"/>
          <w:iCs/>
          <w:sz w:val="22"/>
          <w:szCs w:val="22"/>
          <w:lang w:val="en-ZA"/>
        </w:rPr>
        <w:t xml:space="preserve"> the case, </w:t>
      </w:r>
      <w:r w:rsidR="7539747B" w:rsidRPr="00403DF5">
        <w:rPr>
          <w:rFonts w:ascii="Arial" w:hAnsi="Arial" w:cs="Arial"/>
          <w:iCs/>
          <w:sz w:val="22"/>
          <w:szCs w:val="22"/>
          <w:lang w:val="en-ZA"/>
        </w:rPr>
        <w:t xml:space="preserve">any taxpayer </w:t>
      </w:r>
      <w:r w:rsidR="39B8914E" w:rsidRPr="00403DF5">
        <w:rPr>
          <w:rFonts w:ascii="Arial" w:hAnsi="Arial" w:cs="Arial"/>
          <w:iCs/>
          <w:sz w:val="22"/>
          <w:szCs w:val="22"/>
          <w:lang w:val="en-ZA"/>
        </w:rPr>
        <w:t>r</w:t>
      </w:r>
      <w:r w:rsidR="1B004B3A" w:rsidRPr="00403DF5">
        <w:rPr>
          <w:rFonts w:ascii="Arial" w:hAnsi="Arial" w:cs="Arial"/>
          <w:iCs/>
          <w:sz w:val="22"/>
          <w:szCs w:val="22"/>
          <w:lang w:val="en-ZA"/>
        </w:rPr>
        <w:t>equests</w:t>
      </w:r>
      <w:r w:rsidR="00983D83" w:rsidRPr="00403DF5">
        <w:rPr>
          <w:rFonts w:ascii="Arial" w:hAnsi="Arial" w:cs="Arial"/>
          <w:iCs/>
          <w:sz w:val="22"/>
          <w:szCs w:val="22"/>
          <w:lang w:val="en-ZA"/>
        </w:rPr>
        <w:t xml:space="preserve"> for remission of penalt</w:t>
      </w:r>
      <w:r w:rsidR="7A47C739" w:rsidRPr="00403DF5">
        <w:rPr>
          <w:rFonts w:ascii="Arial" w:hAnsi="Arial" w:cs="Arial"/>
          <w:iCs/>
          <w:sz w:val="22"/>
          <w:szCs w:val="22"/>
          <w:lang w:val="en-ZA"/>
        </w:rPr>
        <w:t>ies</w:t>
      </w:r>
      <w:r w:rsidR="00983D83" w:rsidRPr="00403DF5">
        <w:rPr>
          <w:rFonts w:ascii="Arial" w:hAnsi="Arial" w:cs="Arial"/>
          <w:iCs/>
          <w:sz w:val="22"/>
          <w:szCs w:val="22"/>
          <w:lang w:val="en-ZA"/>
        </w:rPr>
        <w:t xml:space="preserve"> and interes</w:t>
      </w:r>
      <w:r w:rsidR="449ABB5A" w:rsidRPr="00403DF5">
        <w:rPr>
          <w:rFonts w:ascii="Arial" w:hAnsi="Arial" w:cs="Arial"/>
          <w:iCs/>
          <w:sz w:val="22"/>
          <w:szCs w:val="22"/>
          <w:lang w:val="en-ZA"/>
        </w:rPr>
        <w:t>t will be considered by SARS on a case-by-case basis</w:t>
      </w:r>
      <w:r w:rsidR="4A2CB6D6" w:rsidRPr="00403DF5">
        <w:rPr>
          <w:rFonts w:ascii="Arial" w:hAnsi="Arial" w:cs="Arial"/>
          <w:iCs/>
          <w:sz w:val="22"/>
          <w:szCs w:val="22"/>
          <w:lang w:val="en-ZA"/>
        </w:rPr>
        <w:t>.</w:t>
      </w:r>
    </w:p>
    <w:p w14:paraId="354455CD" w14:textId="7CB3AB15" w:rsidR="251BE3F0" w:rsidRPr="003F111D" w:rsidRDefault="251BE3F0" w:rsidP="251BE3F0">
      <w:pPr>
        <w:pStyle w:val="BodyText"/>
        <w:spacing w:line="271" w:lineRule="auto"/>
        <w:ind w:left="831" w:right="152"/>
        <w:jc w:val="both"/>
        <w:rPr>
          <w:rFonts w:ascii="Arial"/>
          <w:i/>
          <w:iCs/>
          <w:lang w:val="en-ZA"/>
        </w:rPr>
      </w:pPr>
    </w:p>
    <w:p w14:paraId="60A260F2" w14:textId="44681CD9" w:rsidR="606C3C7D" w:rsidRPr="003F111D" w:rsidRDefault="606C3C7D" w:rsidP="251BE3F0">
      <w:pPr>
        <w:pStyle w:val="BodyText"/>
        <w:spacing w:line="271" w:lineRule="auto"/>
        <w:ind w:left="492" w:right="153"/>
        <w:jc w:val="both"/>
        <w:rPr>
          <w:rFonts w:ascii="Arial" w:hAnsi="Arial" w:cs="Arial"/>
          <w:i/>
          <w:sz w:val="22"/>
          <w:szCs w:val="22"/>
          <w:lang w:val="en-ZA"/>
        </w:rPr>
      </w:pPr>
      <w:r w:rsidRPr="003F111D">
        <w:rPr>
          <w:rFonts w:ascii="Arial" w:hAnsi="Arial" w:cs="Arial"/>
          <w:i/>
          <w:sz w:val="22"/>
          <w:szCs w:val="22"/>
          <w:lang w:val="en-ZA"/>
        </w:rPr>
        <w:t xml:space="preserve">Comment: </w:t>
      </w:r>
      <w:r w:rsidRPr="00403DF5">
        <w:rPr>
          <w:rFonts w:ascii="Arial" w:hAnsi="Arial" w:cs="Arial"/>
          <w:iCs/>
          <w:sz w:val="22"/>
          <w:szCs w:val="22"/>
          <w:lang w:val="en-ZA"/>
        </w:rPr>
        <w:t>To clarify that the anti-abuse “monthly remuneration” definition applies to section 4, it is submitted that “remuneration paid” be replaced with “mont</w:t>
      </w:r>
      <w:r w:rsidR="4876F5BF" w:rsidRPr="00403DF5">
        <w:rPr>
          <w:rFonts w:ascii="Arial" w:hAnsi="Arial" w:cs="Arial"/>
          <w:iCs/>
          <w:sz w:val="22"/>
          <w:szCs w:val="22"/>
          <w:lang w:val="en-ZA"/>
        </w:rPr>
        <w:t>hly remuneration paid”.</w:t>
      </w:r>
      <w:r w:rsidRPr="003F111D">
        <w:rPr>
          <w:rFonts w:ascii="Arial" w:hAnsi="Arial" w:cs="Arial"/>
          <w:i/>
          <w:sz w:val="22"/>
          <w:szCs w:val="22"/>
          <w:lang w:val="en-ZA"/>
        </w:rPr>
        <w:t xml:space="preserve">  </w:t>
      </w:r>
    </w:p>
    <w:p w14:paraId="5595921B" w14:textId="77777777" w:rsidR="251BE3F0" w:rsidRPr="003F111D" w:rsidRDefault="251BE3F0" w:rsidP="251BE3F0">
      <w:pPr>
        <w:pStyle w:val="BodyText"/>
        <w:spacing w:before="2"/>
        <w:rPr>
          <w:sz w:val="24"/>
          <w:szCs w:val="24"/>
          <w:lang w:val="en-ZA"/>
        </w:rPr>
      </w:pPr>
    </w:p>
    <w:p w14:paraId="38B43CAB" w14:textId="57233A6C" w:rsidR="0011487D" w:rsidRPr="00403DF5" w:rsidRDefault="606C3C7D" w:rsidP="003F111D">
      <w:pPr>
        <w:pStyle w:val="BodyText"/>
        <w:spacing w:line="271" w:lineRule="auto"/>
        <w:ind w:left="831" w:right="152"/>
        <w:jc w:val="both"/>
        <w:rPr>
          <w:rFonts w:ascii="Arial" w:hAnsi="Arial" w:cs="Arial"/>
          <w:iCs/>
          <w:sz w:val="22"/>
          <w:szCs w:val="22"/>
          <w:lang w:val="en-ZA"/>
        </w:rPr>
      </w:pPr>
      <w:r w:rsidRPr="003F111D">
        <w:rPr>
          <w:rFonts w:ascii="Arial" w:hAnsi="Arial" w:cs="Arial"/>
          <w:i/>
          <w:sz w:val="22"/>
          <w:szCs w:val="22"/>
          <w:lang w:val="en-ZA"/>
        </w:rPr>
        <w:t xml:space="preserve">Response: </w:t>
      </w:r>
      <w:r w:rsidRPr="00403DF5">
        <w:rPr>
          <w:rFonts w:ascii="Arial" w:hAnsi="Arial" w:cs="Arial"/>
          <w:iCs/>
          <w:sz w:val="22"/>
          <w:szCs w:val="22"/>
          <w:u w:val="single"/>
          <w:lang w:val="en-ZA"/>
        </w:rPr>
        <w:t>Not</w:t>
      </w:r>
      <w:r w:rsidR="3B597CDB" w:rsidRPr="00403DF5">
        <w:rPr>
          <w:rFonts w:ascii="Arial" w:hAnsi="Arial" w:cs="Arial"/>
          <w:iCs/>
          <w:sz w:val="22"/>
          <w:szCs w:val="22"/>
          <w:u w:val="single"/>
          <w:lang w:val="en-ZA"/>
        </w:rPr>
        <w:t xml:space="preserve"> Accepted</w:t>
      </w:r>
      <w:r w:rsidRPr="00403DF5">
        <w:rPr>
          <w:rFonts w:ascii="Arial" w:hAnsi="Arial" w:cs="Arial"/>
          <w:iCs/>
          <w:sz w:val="22"/>
          <w:szCs w:val="22"/>
          <w:lang w:val="en-ZA"/>
        </w:rPr>
        <w:t>.</w:t>
      </w:r>
      <w:r w:rsidR="4EAE80AC" w:rsidRPr="00403DF5">
        <w:rPr>
          <w:rFonts w:ascii="Arial" w:hAnsi="Arial" w:cs="Arial"/>
          <w:iCs/>
          <w:sz w:val="22"/>
          <w:szCs w:val="22"/>
          <w:lang w:val="en-ZA"/>
        </w:rPr>
        <w:t xml:space="preserve"> It is not recommended that changes are made to section 4 of the ETI Act. </w:t>
      </w:r>
      <w:bookmarkStart w:id="49" w:name="_Hlk146739013"/>
    </w:p>
    <w:p w14:paraId="4C6FD8DE" w14:textId="77777777" w:rsidR="00375F5E" w:rsidRPr="00EB4FA2" w:rsidRDefault="00375F5E" w:rsidP="251BE3F0">
      <w:pPr>
        <w:pStyle w:val="BodyText"/>
        <w:rPr>
          <w:sz w:val="18"/>
          <w:szCs w:val="18"/>
          <w:lang w:val="en-ZA"/>
        </w:rPr>
      </w:pPr>
      <w:bookmarkStart w:id="50" w:name="_Hlk146739614"/>
      <w:bookmarkEnd w:id="49"/>
    </w:p>
    <w:p w14:paraId="79DFA758" w14:textId="2B49EDE3" w:rsidR="00375F5E" w:rsidRPr="003F111D" w:rsidRDefault="23E3C349" w:rsidP="003F111D">
      <w:pPr>
        <w:pStyle w:val="Heading3"/>
        <w:numPr>
          <w:ilvl w:val="1"/>
          <w:numId w:val="37"/>
        </w:numPr>
        <w:tabs>
          <w:tab w:val="left" w:pos="961"/>
        </w:tabs>
        <w:spacing w:before="159"/>
        <w:rPr>
          <w:sz w:val="22"/>
          <w:szCs w:val="22"/>
          <w:lang w:val="en-ZA"/>
        </w:rPr>
      </w:pPr>
      <w:bookmarkStart w:id="51" w:name="_Toc189212106"/>
      <w:bookmarkStart w:id="52" w:name="_TOC_250026"/>
      <w:r w:rsidRPr="003F111D">
        <w:rPr>
          <w:sz w:val="22"/>
          <w:szCs w:val="22"/>
          <w:lang w:val="en-ZA"/>
        </w:rPr>
        <w:t>Transfers between retirement funds by members who reached normal retirement age before retirement date</w:t>
      </w:r>
      <w:bookmarkEnd w:id="51"/>
      <w:r w:rsidRPr="003F111D">
        <w:rPr>
          <w:sz w:val="22"/>
          <w:szCs w:val="22"/>
          <w:lang w:val="en-ZA"/>
        </w:rPr>
        <w:t xml:space="preserve"> </w:t>
      </w:r>
      <w:bookmarkEnd w:id="52"/>
    </w:p>
    <w:p w14:paraId="3D4E79F0" w14:textId="7919BE69" w:rsidR="00DD53F3" w:rsidRPr="003F111D" w:rsidRDefault="318C7D42" w:rsidP="003F111D">
      <w:pPr>
        <w:pStyle w:val="BodyText"/>
        <w:spacing w:before="167"/>
        <w:ind w:left="492" w:right="196"/>
        <w:jc w:val="both"/>
        <w:rPr>
          <w:rFonts w:ascii="Arial" w:hAnsi="Arial" w:cs="Arial"/>
          <w:sz w:val="22"/>
          <w:szCs w:val="22"/>
          <w:lang w:val="en-ZA"/>
        </w:rPr>
      </w:pPr>
      <w:r w:rsidRPr="003F111D">
        <w:rPr>
          <w:rFonts w:ascii="Arial" w:hAnsi="Arial" w:cs="Arial"/>
          <w:sz w:val="22"/>
          <w:szCs w:val="22"/>
          <w:lang w:val="en-ZA"/>
        </w:rPr>
        <w:t xml:space="preserve">(Main reference: </w:t>
      </w:r>
      <w:r w:rsidR="0F50B819" w:rsidRPr="003F111D">
        <w:rPr>
          <w:rFonts w:ascii="Arial" w:hAnsi="Arial" w:cs="Arial"/>
          <w:sz w:val="22"/>
          <w:szCs w:val="22"/>
          <w:lang w:val="en-ZA"/>
        </w:rPr>
        <w:t xml:space="preserve">Definition of “retirement annuity fund” in section 1(1), paragraphs 2(1) and 6A of the Second Schedule </w:t>
      </w:r>
      <w:r w:rsidRPr="003F111D">
        <w:rPr>
          <w:rFonts w:ascii="Arial" w:hAnsi="Arial" w:cs="Arial"/>
          <w:sz w:val="22"/>
          <w:szCs w:val="22"/>
          <w:lang w:val="en-ZA"/>
        </w:rPr>
        <w:t>of the Income Tax Act: Clause</w:t>
      </w:r>
      <w:r w:rsidR="3E52A635" w:rsidRPr="003F111D">
        <w:rPr>
          <w:rFonts w:ascii="Arial" w:hAnsi="Arial" w:cs="Arial"/>
          <w:sz w:val="22"/>
          <w:szCs w:val="22"/>
          <w:lang w:val="en-ZA"/>
        </w:rPr>
        <w:t>s</w:t>
      </w:r>
      <w:r w:rsidRPr="003F111D">
        <w:rPr>
          <w:rFonts w:ascii="Arial" w:hAnsi="Arial" w:cs="Arial"/>
          <w:sz w:val="22"/>
          <w:szCs w:val="22"/>
          <w:lang w:val="en-ZA"/>
        </w:rPr>
        <w:t xml:space="preserve"> </w:t>
      </w:r>
      <w:r w:rsidR="45C56C5E" w:rsidRPr="003F111D">
        <w:rPr>
          <w:rFonts w:ascii="Arial" w:hAnsi="Arial" w:cs="Arial"/>
          <w:sz w:val="22"/>
          <w:szCs w:val="22"/>
          <w:lang w:val="en-ZA"/>
        </w:rPr>
        <w:t>30</w:t>
      </w:r>
      <w:r w:rsidR="3E52A635" w:rsidRPr="003F111D">
        <w:rPr>
          <w:rFonts w:ascii="Arial" w:hAnsi="Arial" w:cs="Arial"/>
          <w:sz w:val="22"/>
          <w:szCs w:val="22"/>
          <w:lang w:val="en-ZA"/>
        </w:rPr>
        <w:t xml:space="preserve"> and </w:t>
      </w:r>
      <w:r w:rsidR="76B2F581" w:rsidRPr="003F111D">
        <w:rPr>
          <w:rFonts w:ascii="Arial" w:hAnsi="Arial" w:cs="Arial"/>
          <w:sz w:val="22"/>
          <w:szCs w:val="22"/>
          <w:lang w:val="en-ZA"/>
        </w:rPr>
        <w:t>31</w:t>
      </w:r>
      <w:r w:rsidRPr="003F111D">
        <w:rPr>
          <w:rFonts w:ascii="Arial" w:hAnsi="Arial" w:cs="Arial"/>
          <w:sz w:val="22"/>
          <w:szCs w:val="22"/>
          <w:lang w:val="en-ZA"/>
        </w:rPr>
        <w:t xml:space="preserve"> of the Draft TLAB)</w:t>
      </w:r>
    </w:p>
    <w:bookmarkEnd w:id="50"/>
    <w:p w14:paraId="571A38B7" w14:textId="77777777" w:rsidR="005A6E10" w:rsidRPr="00EB4FA2" w:rsidRDefault="005A6E10" w:rsidP="005A6E10">
      <w:pPr>
        <w:pStyle w:val="BodyText"/>
        <w:spacing w:before="1" w:line="271" w:lineRule="auto"/>
        <w:ind w:left="492" w:right="152"/>
        <w:jc w:val="both"/>
        <w:rPr>
          <w:lang w:val="en-ZA"/>
        </w:rPr>
      </w:pPr>
    </w:p>
    <w:p w14:paraId="62D16BE5" w14:textId="1FEDF9CA" w:rsidR="15F692E7" w:rsidRPr="00403DF5" w:rsidRDefault="15F692E7" w:rsidP="00403DF5">
      <w:pPr>
        <w:pStyle w:val="BodyText"/>
        <w:spacing w:line="271" w:lineRule="auto"/>
        <w:ind w:left="831" w:right="152"/>
        <w:jc w:val="both"/>
        <w:rPr>
          <w:rFonts w:ascii="Arial" w:hAnsi="Arial" w:cs="Arial"/>
          <w:iCs/>
          <w:sz w:val="22"/>
          <w:szCs w:val="22"/>
          <w:lang w:val="en-ZA"/>
        </w:rPr>
      </w:pPr>
      <w:r w:rsidRPr="00403DF5">
        <w:rPr>
          <w:rFonts w:ascii="Arial" w:hAnsi="Arial" w:cs="Arial"/>
          <w:iCs/>
          <w:sz w:val="22"/>
          <w:szCs w:val="22"/>
          <w:lang w:val="en-ZA"/>
        </w:rPr>
        <w:t>In 2023, changes were made to the legislation to allow for tax-neutral transfers between retirement funds in instances where members of pension or provident funds who have reached the normal retirement age as contained in the rules of the fund, but have not yet elected to retire, to transfer their retirement interest tax-free if it is an involuntary transfer. However, to be tax-free the transfer of the retirement interest should be made to a fund that is not less restrictive. It has come to government’s attention that the law only allows certain tax-free transfers of an involuntary nature but excludes transfers from one retirement annuity fund to another. It is proposed that the law be amended to allow involuntary transfers of this nature.</w:t>
      </w:r>
    </w:p>
    <w:p w14:paraId="3CA20F7E" w14:textId="77777777" w:rsidR="00375F5E" w:rsidRPr="00EB4FA2" w:rsidRDefault="00375F5E" w:rsidP="251BE3F0">
      <w:pPr>
        <w:pStyle w:val="BodyText"/>
        <w:rPr>
          <w:sz w:val="22"/>
          <w:szCs w:val="22"/>
          <w:lang w:val="en-ZA"/>
        </w:rPr>
      </w:pPr>
    </w:p>
    <w:p w14:paraId="1B86BC81" w14:textId="130C4976" w:rsidR="251BE3F0" w:rsidRPr="003F111D" w:rsidRDefault="251BE3F0" w:rsidP="251BE3F0">
      <w:pPr>
        <w:pStyle w:val="BodyText"/>
        <w:spacing w:line="271" w:lineRule="auto"/>
        <w:ind w:left="492" w:right="153"/>
        <w:jc w:val="both"/>
        <w:rPr>
          <w:rFonts w:ascii="Arial" w:hAnsi="Arial" w:cs="Arial"/>
          <w:i/>
          <w:sz w:val="22"/>
          <w:szCs w:val="22"/>
          <w:lang w:val="en-ZA"/>
        </w:rPr>
      </w:pPr>
      <w:r w:rsidRPr="003F111D">
        <w:rPr>
          <w:rFonts w:ascii="Arial" w:hAnsi="Arial" w:cs="Arial"/>
          <w:i/>
          <w:sz w:val="22"/>
          <w:szCs w:val="22"/>
          <w:lang w:val="en-ZA"/>
        </w:rPr>
        <w:t xml:space="preserve">Comment:  </w:t>
      </w:r>
      <w:r w:rsidRPr="00403DF5">
        <w:rPr>
          <w:rFonts w:ascii="Arial" w:hAnsi="Arial" w:cs="Arial"/>
          <w:iCs/>
          <w:sz w:val="22"/>
          <w:szCs w:val="22"/>
          <w:lang w:val="en-ZA"/>
        </w:rPr>
        <w:t>The National Treasury should reconsider the requirement that Retirement Annuity Fund (RAF) to RAF transfers in terms of paragraph 2(1)(c) of the Second Schedule to the ITA can only be tax neutral if the transfer was involuntary and that these transfers should instead be allowed tax neutral where the transfer is at the election of the RAF member. In addition, involuntary transfers of member benefits from an RAF to another RAF hardly occur in practice. This is a more common occurrence in occupational funds. Consequentially, alignment of the Draft Explanatory Memorandum wording with the draft legislation is required.</w:t>
      </w:r>
    </w:p>
    <w:p w14:paraId="7D20F1C8" w14:textId="77777777" w:rsidR="251BE3F0" w:rsidRPr="003F111D" w:rsidRDefault="251BE3F0" w:rsidP="251BE3F0">
      <w:pPr>
        <w:pStyle w:val="BodyText"/>
        <w:spacing w:before="2"/>
        <w:rPr>
          <w:sz w:val="24"/>
          <w:szCs w:val="24"/>
          <w:lang w:val="en-ZA"/>
        </w:rPr>
      </w:pPr>
    </w:p>
    <w:p w14:paraId="5BAE786A" w14:textId="7B3557EB" w:rsidR="251BE3F0" w:rsidRPr="003F111D" w:rsidRDefault="251BE3F0" w:rsidP="251BE3F0">
      <w:pPr>
        <w:pStyle w:val="BodyText"/>
        <w:spacing w:line="271" w:lineRule="auto"/>
        <w:ind w:left="831" w:right="152"/>
        <w:jc w:val="both"/>
        <w:rPr>
          <w:rFonts w:ascii="Arial" w:hAnsi="Arial" w:cs="Arial"/>
          <w:i/>
          <w:sz w:val="22"/>
          <w:szCs w:val="22"/>
          <w:lang w:val="en-ZA"/>
        </w:rPr>
      </w:pPr>
      <w:r w:rsidRPr="003F111D">
        <w:rPr>
          <w:rFonts w:ascii="Arial" w:hAnsi="Arial" w:cs="Arial"/>
          <w:i/>
          <w:sz w:val="22"/>
          <w:szCs w:val="22"/>
          <w:lang w:val="en-ZA"/>
        </w:rPr>
        <w:t xml:space="preserve">Response: </w:t>
      </w:r>
      <w:r w:rsidRPr="00403DF5">
        <w:rPr>
          <w:rFonts w:ascii="Arial" w:hAnsi="Arial" w:cs="Arial"/>
          <w:iCs/>
          <w:sz w:val="22"/>
          <w:szCs w:val="22"/>
          <w:u w:val="single"/>
          <w:lang w:val="en-ZA"/>
        </w:rPr>
        <w:t>Accepted</w:t>
      </w:r>
      <w:r w:rsidRPr="00403DF5">
        <w:rPr>
          <w:rFonts w:ascii="Arial" w:hAnsi="Arial" w:cs="Arial"/>
          <w:iCs/>
          <w:sz w:val="22"/>
          <w:szCs w:val="22"/>
          <w:lang w:val="en-ZA"/>
        </w:rPr>
        <w:t>. It is the policy intention of the government to ensure parity amongst members of retirement annuity funds who have reached normal retirement age as stipulated in the fund rules but have not yet elected to retire from the fund. Therefore, the amendments contained in the 2024 TLAB will make it possible to have the ability to transfer retirement interest from a retirement annuity fund into another retirement annuity fund without incurring a tax liability regardless of whether the transfer is of a voluntary or involuntary nature. The final Explanatory Memondarum will reflect wording aligning with the policy instrument.</w:t>
      </w:r>
    </w:p>
    <w:p w14:paraId="49237D56" w14:textId="3D3735C3" w:rsidR="251BE3F0" w:rsidRPr="003F111D" w:rsidRDefault="251BE3F0" w:rsidP="00403DF5">
      <w:pPr>
        <w:pStyle w:val="BodyText"/>
        <w:spacing w:line="271" w:lineRule="auto"/>
        <w:ind w:right="152"/>
        <w:jc w:val="both"/>
        <w:rPr>
          <w:rFonts w:ascii="Arial"/>
          <w:lang w:val="en-ZA"/>
        </w:rPr>
      </w:pPr>
    </w:p>
    <w:p w14:paraId="14CC6390" w14:textId="0B9B31B9" w:rsidR="09A62727" w:rsidRPr="003F111D" w:rsidRDefault="09A62727" w:rsidP="003F111D">
      <w:pPr>
        <w:pStyle w:val="Heading3"/>
        <w:numPr>
          <w:ilvl w:val="1"/>
          <w:numId w:val="37"/>
        </w:numPr>
        <w:tabs>
          <w:tab w:val="left" w:pos="961"/>
        </w:tabs>
        <w:spacing w:before="159"/>
        <w:rPr>
          <w:b w:val="0"/>
          <w:bCs w:val="0"/>
          <w:sz w:val="22"/>
          <w:szCs w:val="22"/>
          <w:lang w:val="en-ZA"/>
        </w:rPr>
      </w:pPr>
      <w:bookmarkStart w:id="53" w:name="_Toc189212107"/>
      <w:r w:rsidRPr="003F111D">
        <w:rPr>
          <w:sz w:val="22"/>
          <w:szCs w:val="22"/>
          <w:lang w:val="en-ZA"/>
        </w:rPr>
        <w:t>Clarifying anti-avoidance rules for low-interest or interest-free loans to trusts</w:t>
      </w:r>
      <w:bookmarkEnd w:id="53"/>
      <w:r w:rsidRPr="003F111D">
        <w:rPr>
          <w:sz w:val="22"/>
          <w:szCs w:val="22"/>
          <w:lang w:val="en-ZA"/>
        </w:rPr>
        <w:t xml:space="preserve"> </w:t>
      </w:r>
    </w:p>
    <w:p w14:paraId="57167A33" w14:textId="58D52FE3" w:rsidR="09A62727" w:rsidRPr="003F111D" w:rsidRDefault="09A62727" w:rsidP="003F111D">
      <w:pPr>
        <w:pStyle w:val="BodyText"/>
        <w:spacing w:before="167"/>
        <w:ind w:left="492" w:right="196"/>
        <w:jc w:val="both"/>
        <w:rPr>
          <w:rFonts w:ascii="Arial" w:hAnsi="Arial" w:cs="Arial"/>
          <w:sz w:val="22"/>
          <w:szCs w:val="22"/>
          <w:lang w:val="en-ZA"/>
        </w:rPr>
      </w:pPr>
      <w:r w:rsidRPr="003F111D">
        <w:rPr>
          <w:rFonts w:ascii="Arial" w:hAnsi="Arial" w:cs="Arial"/>
          <w:sz w:val="22"/>
          <w:szCs w:val="22"/>
          <w:lang w:val="en-ZA"/>
        </w:rPr>
        <w:t xml:space="preserve">(Main reference: Section </w:t>
      </w:r>
      <w:r w:rsidR="39DDE704" w:rsidRPr="003F111D">
        <w:rPr>
          <w:rFonts w:ascii="Arial" w:hAnsi="Arial" w:cs="Arial"/>
          <w:sz w:val="22"/>
          <w:szCs w:val="22"/>
          <w:lang w:val="en-ZA"/>
        </w:rPr>
        <w:t>7C of the Act</w:t>
      </w:r>
      <w:r w:rsidRPr="003F111D">
        <w:rPr>
          <w:rFonts w:ascii="Arial" w:hAnsi="Arial" w:cs="Arial"/>
          <w:sz w:val="22"/>
          <w:szCs w:val="22"/>
          <w:lang w:val="en-ZA"/>
        </w:rPr>
        <w:t xml:space="preserve">: Clause </w:t>
      </w:r>
      <w:r w:rsidR="1D128175" w:rsidRPr="003F111D">
        <w:rPr>
          <w:rFonts w:ascii="Arial" w:hAnsi="Arial" w:cs="Arial"/>
          <w:sz w:val="22"/>
          <w:szCs w:val="22"/>
          <w:lang w:val="en-ZA"/>
        </w:rPr>
        <w:t>4</w:t>
      </w:r>
      <w:r w:rsidRPr="003F111D">
        <w:rPr>
          <w:rFonts w:ascii="Arial" w:hAnsi="Arial" w:cs="Arial"/>
          <w:sz w:val="22"/>
          <w:szCs w:val="22"/>
          <w:lang w:val="en-ZA"/>
        </w:rPr>
        <w:t xml:space="preserve"> of the Draft TLAB)</w:t>
      </w:r>
    </w:p>
    <w:p w14:paraId="559C1BFC" w14:textId="07840AC3" w:rsidR="251BE3F0" w:rsidRPr="003F111D" w:rsidRDefault="251BE3F0" w:rsidP="251BE3F0">
      <w:pPr>
        <w:pStyle w:val="BodyText"/>
        <w:spacing w:line="271" w:lineRule="auto"/>
        <w:ind w:right="152"/>
        <w:jc w:val="both"/>
        <w:rPr>
          <w:rFonts w:ascii="Arial"/>
          <w:lang w:val="en-ZA"/>
        </w:rPr>
      </w:pPr>
    </w:p>
    <w:p w14:paraId="1D626B61" w14:textId="350037AE" w:rsidR="0B34988A" w:rsidRPr="003F111D" w:rsidRDefault="0B34988A" w:rsidP="00403DF5">
      <w:pPr>
        <w:pStyle w:val="BodyText"/>
        <w:spacing w:line="271" w:lineRule="auto"/>
        <w:ind w:left="831" w:right="152"/>
        <w:jc w:val="both"/>
        <w:rPr>
          <w:rFonts w:ascii="Arial" w:hAnsi="Arial" w:cs="Arial"/>
          <w:iCs/>
          <w:sz w:val="22"/>
          <w:szCs w:val="22"/>
          <w:lang w:val="en-ZA"/>
        </w:rPr>
      </w:pPr>
      <w:r w:rsidRPr="003F111D">
        <w:rPr>
          <w:rFonts w:ascii="Arial" w:hAnsi="Arial" w:cs="Arial"/>
          <w:iCs/>
          <w:sz w:val="22"/>
          <w:szCs w:val="22"/>
          <w:lang w:val="en-ZA"/>
        </w:rPr>
        <w:t xml:space="preserve">The Income Tax Act contains an anti-avoidance measure aimed at curbing the tax-free transfer of wealth to trusts using low-interest or interest-free loans, advances or credit arrangements (including cross-border loan arrangements). </w:t>
      </w:r>
    </w:p>
    <w:p w14:paraId="5D61E6B8" w14:textId="5E92578B" w:rsidR="251BE3F0" w:rsidRPr="003F111D" w:rsidRDefault="251BE3F0" w:rsidP="003F111D">
      <w:pPr>
        <w:pStyle w:val="BodyText"/>
        <w:spacing w:before="1" w:line="271" w:lineRule="auto"/>
        <w:ind w:left="492" w:right="152"/>
        <w:jc w:val="both"/>
        <w:rPr>
          <w:rFonts w:ascii="Arial" w:hAnsi="Arial" w:cs="Arial"/>
          <w:iCs/>
          <w:sz w:val="22"/>
          <w:szCs w:val="22"/>
          <w:lang w:val="en-ZA"/>
        </w:rPr>
      </w:pPr>
    </w:p>
    <w:p w14:paraId="76517621" w14:textId="2A11624A" w:rsidR="0B34988A" w:rsidRPr="003F111D" w:rsidRDefault="0B34988A" w:rsidP="00403DF5">
      <w:pPr>
        <w:pStyle w:val="BodyText"/>
        <w:spacing w:line="271" w:lineRule="auto"/>
        <w:ind w:left="831" w:right="152"/>
        <w:jc w:val="both"/>
        <w:rPr>
          <w:rFonts w:ascii="Arial" w:hAnsi="Arial" w:cs="Arial"/>
          <w:iCs/>
          <w:sz w:val="22"/>
          <w:szCs w:val="22"/>
          <w:lang w:val="en-ZA"/>
        </w:rPr>
      </w:pPr>
      <w:r w:rsidRPr="003F111D">
        <w:rPr>
          <w:rFonts w:ascii="Arial" w:hAnsi="Arial" w:cs="Arial"/>
          <w:iCs/>
          <w:sz w:val="22"/>
          <w:szCs w:val="22"/>
          <w:lang w:val="en-ZA"/>
        </w:rPr>
        <w:t xml:space="preserve">The transfer pricing rules in the act also apply to counter the mispricing of cross-border loan arrangements. To avoid the possibility of an overlap or double taxation, the trust anti-avoidance measures specifically exclude low- or no-interest loan arrangements that are subject to the transfer pricing rules. </w:t>
      </w:r>
    </w:p>
    <w:p w14:paraId="60D69934" w14:textId="0BF8B185" w:rsidR="251BE3F0" w:rsidRPr="003F111D" w:rsidRDefault="251BE3F0" w:rsidP="00403DF5">
      <w:pPr>
        <w:pStyle w:val="BodyText"/>
        <w:spacing w:line="271" w:lineRule="auto"/>
        <w:ind w:left="831" w:right="152"/>
        <w:jc w:val="both"/>
        <w:rPr>
          <w:rFonts w:ascii="Arial" w:hAnsi="Arial" w:cs="Arial"/>
          <w:iCs/>
          <w:sz w:val="22"/>
          <w:szCs w:val="22"/>
          <w:lang w:val="en-ZA"/>
        </w:rPr>
      </w:pPr>
    </w:p>
    <w:p w14:paraId="4A118698" w14:textId="1DFD5A2A" w:rsidR="0A298251" w:rsidRPr="003F111D" w:rsidRDefault="0A298251" w:rsidP="00403DF5">
      <w:pPr>
        <w:pStyle w:val="BodyText"/>
        <w:spacing w:line="271" w:lineRule="auto"/>
        <w:ind w:left="831" w:right="152"/>
        <w:jc w:val="both"/>
        <w:rPr>
          <w:rFonts w:ascii="Arial" w:hAnsi="Arial" w:cs="Arial"/>
          <w:iCs/>
          <w:sz w:val="22"/>
          <w:szCs w:val="22"/>
          <w:lang w:val="en-ZA"/>
        </w:rPr>
      </w:pPr>
      <w:r w:rsidRPr="003F111D">
        <w:rPr>
          <w:rFonts w:ascii="Arial" w:hAnsi="Arial" w:cs="Arial"/>
          <w:iCs/>
          <w:sz w:val="22"/>
          <w:szCs w:val="22"/>
          <w:lang w:val="en-ZA"/>
        </w:rPr>
        <w:t xml:space="preserve">At issue is that the above-mentioned exclusion does not effectively address the interaction between the trust anti-avoidance measures and transfer pricing rules where the arm’s length interest rate is less than the official rate on these cross-border loan arrangements. </w:t>
      </w:r>
    </w:p>
    <w:p w14:paraId="2292588F" w14:textId="458D6487" w:rsidR="251BE3F0" w:rsidRPr="003F111D" w:rsidRDefault="251BE3F0" w:rsidP="00403DF5">
      <w:pPr>
        <w:pStyle w:val="BodyText"/>
        <w:spacing w:line="271" w:lineRule="auto"/>
        <w:ind w:left="831" w:right="152"/>
        <w:jc w:val="both"/>
        <w:rPr>
          <w:rFonts w:ascii="Arial" w:hAnsi="Arial" w:cs="Arial"/>
          <w:iCs/>
          <w:sz w:val="22"/>
          <w:szCs w:val="22"/>
          <w:lang w:val="en-ZA"/>
        </w:rPr>
      </w:pPr>
    </w:p>
    <w:p w14:paraId="7D7BF921" w14:textId="72FBC99E" w:rsidR="0A298251" w:rsidRPr="003F111D" w:rsidRDefault="0A298251" w:rsidP="00403DF5">
      <w:pPr>
        <w:pStyle w:val="BodyText"/>
        <w:spacing w:line="271" w:lineRule="auto"/>
        <w:ind w:left="831" w:right="152"/>
        <w:jc w:val="both"/>
        <w:rPr>
          <w:rFonts w:ascii="Arial" w:hAnsi="Arial" w:cs="Arial"/>
          <w:iCs/>
          <w:sz w:val="22"/>
          <w:szCs w:val="22"/>
          <w:lang w:val="en-ZA"/>
        </w:rPr>
      </w:pPr>
      <w:r w:rsidRPr="003F111D">
        <w:rPr>
          <w:rFonts w:ascii="Arial" w:hAnsi="Arial" w:cs="Arial"/>
          <w:iCs/>
          <w:sz w:val="22"/>
          <w:szCs w:val="22"/>
          <w:lang w:val="en-ZA"/>
        </w:rPr>
        <w:t>It is proposed that an amendment be made to ensure that the exemption of the trust anti-avoidance measure in respect of a loan, advance or credit that constitutes an affected transaction, as defined in the transfer pricing provisions, only applies to the amount or portion thereof, owing by that trust in respect of that loan, advance or credit, to the extent of an adjustment being made on that amount or part thereof in terms of the transfer pricing provisions.</w:t>
      </w:r>
    </w:p>
    <w:p w14:paraId="7CC11918" w14:textId="7338AFFF" w:rsidR="251BE3F0" w:rsidRPr="003F111D" w:rsidRDefault="251BE3F0" w:rsidP="251BE3F0">
      <w:pPr>
        <w:pStyle w:val="BodyText"/>
        <w:spacing w:line="271" w:lineRule="auto"/>
        <w:ind w:right="152"/>
        <w:jc w:val="both"/>
        <w:rPr>
          <w:rFonts w:ascii="Arial"/>
          <w:lang w:val="en-ZA"/>
        </w:rPr>
      </w:pPr>
    </w:p>
    <w:p w14:paraId="49B07806" w14:textId="0829409D" w:rsidR="0A298251" w:rsidRPr="003F111D" w:rsidRDefault="0A298251" w:rsidP="003F111D">
      <w:pPr>
        <w:pStyle w:val="BodyText"/>
        <w:spacing w:line="271" w:lineRule="auto"/>
        <w:ind w:left="492" w:right="153"/>
        <w:jc w:val="both"/>
        <w:rPr>
          <w:rFonts w:ascii="Arial" w:hAnsi="Arial" w:cs="Arial"/>
          <w:i/>
          <w:sz w:val="22"/>
          <w:szCs w:val="22"/>
          <w:lang w:val="en-ZA"/>
        </w:rPr>
      </w:pPr>
      <w:r w:rsidRPr="003F111D">
        <w:rPr>
          <w:rFonts w:ascii="Arial" w:hAnsi="Arial" w:cs="Arial"/>
          <w:i/>
          <w:sz w:val="22"/>
          <w:szCs w:val="22"/>
          <w:lang w:val="en-ZA"/>
        </w:rPr>
        <w:t xml:space="preserve">Comment: </w:t>
      </w:r>
      <w:r w:rsidR="31BAD3A1" w:rsidRPr="00403DF5">
        <w:rPr>
          <w:rFonts w:ascii="Arial" w:hAnsi="Arial" w:cs="Arial"/>
          <w:iCs/>
          <w:sz w:val="22"/>
          <w:szCs w:val="22"/>
          <w:lang w:val="en-ZA"/>
        </w:rPr>
        <w:t>There is a concern that, in certain circumstances, the current proposal may cause uncertainty for taxpayers that prepared a detailed analysis of the considerations that should be considered in determining an arm’s length interest rate. The impact being that, at a minimum, the loan will always be subject to the section 7C rate and tax consequences, notwithstanding that it is an arm’s length transaction. As such, there should be a carve out, that in those instances where an interest rate lower than the official rate can be justified as being an arm’s length interest rate, section 7C should not apply</w:t>
      </w:r>
      <w:r w:rsidR="31BAD3A1" w:rsidRPr="003F111D">
        <w:rPr>
          <w:rFonts w:ascii="Arial" w:hAnsi="Arial" w:cs="Arial"/>
          <w:i/>
          <w:sz w:val="22"/>
          <w:szCs w:val="22"/>
          <w:lang w:val="en-ZA"/>
        </w:rPr>
        <w:t>.</w:t>
      </w:r>
    </w:p>
    <w:p w14:paraId="4C89AD6D" w14:textId="77777777" w:rsidR="0038739C" w:rsidRPr="003F111D" w:rsidRDefault="0038739C" w:rsidP="251BE3F0">
      <w:pPr>
        <w:pStyle w:val="BodyText"/>
        <w:spacing w:line="271" w:lineRule="auto"/>
        <w:ind w:right="152"/>
        <w:jc w:val="both"/>
        <w:rPr>
          <w:rFonts w:ascii="Arial"/>
          <w:lang w:val="en-ZA"/>
        </w:rPr>
      </w:pPr>
    </w:p>
    <w:p w14:paraId="16B7ED76" w14:textId="2F4D2703" w:rsidR="0038739C" w:rsidRPr="003F111D" w:rsidRDefault="0038739C" w:rsidP="003F111D">
      <w:pPr>
        <w:pStyle w:val="BodyText"/>
        <w:spacing w:line="271" w:lineRule="auto"/>
        <w:ind w:left="831" w:right="152"/>
        <w:jc w:val="both"/>
        <w:rPr>
          <w:rFonts w:ascii="Arial" w:hAnsi="Arial" w:cs="Arial"/>
          <w:i/>
          <w:sz w:val="22"/>
          <w:szCs w:val="22"/>
          <w:lang w:val="en-ZA"/>
        </w:rPr>
      </w:pPr>
      <w:bookmarkStart w:id="54" w:name="_Hlk180346218"/>
      <w:r w:rsidRPr="003F111D">
        <w:rPr>
          <w:rFonts w:ascii="Arial" w:hAnsi="Arial" w:cs="Arial"/>
          <w:i/>
          <w:sz w:val="22"/>
          <w:szCs w:val="22"/>
          <w:lang w:val="en-ZA"/>
        </w:rPr>
        <w:t xml:space="preserve">Response: </w:t>
      </w:r>
      <w:r w:rsidRPr="00403DF5">
        <w:rPr>
          <w:rFonts w:ascii="Arial" w:hAnsi="Arial" w:cs="Arial"/>
          <w:iCs/>
          <w:sz w:val="22"/>
          <w:szCs w:val="22"/>
          <w:u w:val="single"/>
          <w:lang w:val="en-ZA"/>
        </w:rPr>
        <w:t>Not accepted</w:t>
      </w:r>
      <w:r w:rsidRPr="00403DF5">
        <w:rPr>
          <w:rFonts w:ascii="Arial" w:hAnsi="Arial" w:cs="Arial"/>
          <w:iCs/>
          <w:sz w:val="22"/>
          <w:szCs w:val="22"/>
          <w:lang w:val="en-ZA"/>
        </w:rPr>
        <w:t>. This is our policy intent as section 7C of the Act is an anti-avoidance measure aimed at curbing the tax-free transfer of wealth. The proposed amendment ends any improper or undue opportunities that arise due to the difference in rate</w:t>
      </w:r>
      <w:r w:rsidR="00500574" w:rsidRPr="00403DF5">
        <w:rPr>
          <w:rFonts w:ascii="Arial" w:hAnsi="Arial" w:cs="Arial"/>
          <w:iCs/>
          <w:sz w:val="22"/>
          <w:szCs w:val="22"/>
          <w:lang w:val="en-ZA"/>
        </w:rPr>
        <w:t>.</w:t>
      </w:r>
    </w:p>
    <w:bookmarkEnd w:id="54"/>
    <w:p w14:paraId="6AFFCCA2" w14:textId="77777777" w:rsidR="00822FC0" w:rsidRPr="00EB4FA2" w:rsidRDefault="00822FC0" w:rsidP="251BE3F0">
      <w:pPr>
        <w:pStyle w:val="BodyText"/>
        <w:spacing w:before="5"/>
        <w:rPr>
          <w:lang w:val="en-ZA"/>
        </w:rPr>
      </w:pPr>
    </w:p>
    <w:p w14:paraId="0737DE21" w14:textId="2032ACC1" w:rsidR="31BAD3A1" w:rsidRPr="00403DF5" w:rsidRDefault="31BAD3A1" w:rsidP="003F111D">
      <w:pPr>
        <w:pStyle w:val="BodyText"/>
        <w:spacing w:line="271" w:lineRule="auto"/>
        <w:ind w:left="492" w:right="153"/>
        <w:jc w:val="both"/>
        <w:rPr>
          <w:rFonts w:ascii="Arial" w:hAnsi="Arial" w:cs="Arial"/>
          <w:iCs/>
          <w:sz w:val="22"/>
          <w:szCs w:val="22"/>
          <w:lang w:val="en-ZA"/>
        </w:rPr>
      </w:pPr>
      <w:r w:rsidRPr="003F111D">
        <w:rPr>
          <w:rFonts w:ascii="Arial" w:hAnsi="Arial" w:cs="Arial"/>
          <w:i/>
          <w:sz w:val="22"/>
          <w:szCs w:val="22"/>
          <w:lang w:val="en-ZA"/>
        </w:rPr>
        <w:t xml:space="preserve">Comment: </w:t>
      </w:r>
      <w:r w:rsidR="467896CA" w:rsidRPr="00403DF5">
        <w:rPr>
          <w:rFonts w:ascii="Arial" w:hAnsi="Arial" w:cs="Arial"/>
          <w:iCs/>
          <w:sz w:val="22"/>
          <w:szCs w:val="22"/>
          <w:lang w:val="en-ZA"/>
        </w:rPr>
        <w:t xml:space="preserve">Whilst it is implicit that the transfer pricing adjustment applies to a specific loan, it could be interpreted that any transfer pricing application would suffice for the exclusion and that it need not relate to the loan to the trust. It is recommended that legislation be explicit that </w:t>
      </w:r>
      <w:r w:rsidR="2D700684" w:rsidRPr="00403DF5">
        <w:rPr>
          <w:rFonts w:ascii="Arial" w:hAnsi="Arial" w:cs="Arial"/>
          <w:iCs/>
          <w:sz w:val="22"/>
          <w:szCs w:val="22"/>
          <w:lang w:val="en-ZA"/>
        </w:rPr>
        <w:t xml:space="preserve">transfer pricing application </w:t>
      </w:r>
      <w:r w:rsidR="5C0C6A26" w:rsidRPr="00403DF5">
        <w:rPr>
          <w:rFonts w:ascii="Arial" w:hAnsi="Arial" w:cs="Arial"/>
          <w:iCs/>
          <w:sz w:val="22"/>
          <w:szCs w:val="22"/>
          <w:lang w:val="en-ZA"/>
        </w:rPr>
        <w:t>relates</w:t>
      </w:r>
      <w:r w:rsidR="467896CA" w:rsidRPr="00403DF5">
        <w:rPr>
          <w:rFonts w:ascii="Arial" w:hAnsi="Arial" w:cs="Arial"/>
          <w:iCs/>
          <w:sz w:val="22"/>
          <w:szCs w:val="22"/>
          <w:lang w:val="en-ZA"/>
        </w:rPr>
        <w:t xml:space="preserve"> to interest levied in respect of a specific loan</w:t>
      </w:r>
      <w:r w:rsidR="5F675608" w:rsidRPr="00403DF5">
        <w:rPr>
          <w:rFonts w:ascii="Arial" w:hAnsi="Arial" w:cs="Arial"/>
          <w:iCs/>
          <w:sz w:val="22"/>
          <w:szCs w:val="22"/>
          <w:lang w:val="en-ZA"/>
        </w:rPr>
        <w:t>.</w:t>
      </w:r>
    </w:p>
    <w:p w14:paraId="5D1256CE" w14:textId="77777777" w:rsidR="0038739C" w:rsidRPr="003F111D" w:rsidRDefault="0038739C" w:rsidP="251BE3F0">
      <w:pPr>
        <w:pStyle w:val="BodyText"/>
        <w:spacing w:before="5"/>
        <w:rPr>
          <w:lang w:val="en-ZA"/>
        </w:rPr>
      </w:pPr>
    </w:p>
    <w:p w14:paraId="60B77462" w14:textId="1D8A1AE6" w:rsidR="0038739C" w:rsidRPr="003F111D" w:rsidRDefault="0038739C" w:rsidP="003F111D">
      <w:pPr>
        <w:pStyle w:val="BodyText"/>
        <w:spacing w:line="271" w:lineRule="auto"/>
        <w:ind w:left="831" w:right="152"/>
        <w:jc w:val="both"/>
        <w:rPr>
          <w:rFonts w:ascii="Arial" w:hAnsi="Arial" w:cs="Arial"/>
          <w:i/>
          <w:sz w:val="22"/>
          <w:szCs w:val="22"/>
          <w:lang w:val="en-ZA"/>
        </w:rPr>
      </w:pPr>
      <w:r w:rsidRPr="003F111D">
        <w:rPr>
          <w:rFonts w:ascii="Arial" w:hAnsi="Arial" w:cs="Arial"/>
          <w:i/>
          <w:sz w:val="22"/>
          <w:szCs w:val="22"/>
          <w:lang w:val="en-ZA"/>
        </w:rPr>
        <w:t xml:space="preserve">Response: </w:t>
      </w:r>
      <w:r w:rsidRPr="00403DF5">
        <w:rPr>
          <w:rFonts w:ascii="Arial" w:hAnsi="Arial" w:cs="Arial"/>
          <w:iCs/>
          <w:sz w:val="22"/>
          <w:szCs w:val="22"/>
          <w:u w:val="single"/>
          <w:lang w:val="en-ZA"/>
        </w:rPr>
        <w:t>Not accepted</w:t>
      </w:r>
      <w:r w:rsidRPr="00403DF5">
        <w:rPr>
          <w:rFonts w:ascii="Arial" w:hAnsi="Arial" w:cs="Arial"/>
          <w:iCs/>
          <w:sz w:val="22"/>
          <w:szCs w:val="22"/>
          <w:lang w:val="en-ZA"/>
        </w:rPr>
        <w:t>. Legislation is clear if read in context</w:t>
      </w:r>
      <w:r w:rsidRPr="003F111D">
        <w:rPr>
          <w:rFonts w:ascii="Arial" w:hAnsi="Arial" w:cs="Arial"/>
          <w:i/>
          <w:sz w:val="22"/>
          <w:szCs w:val="22"/>
          <w:lang w:val="en-ZA"/>
        </w:rPr>
        <w:t>.</w:t>
      </w:r>
    </w:p>
    <w:p w14:paraId="62631019" w14:textId="3DED938D" w:rsidR="251BE3F0" w:rsidRPr="003F111D" w:rsidRDefault="251BE3F0" w:rsidP="251BE3F0">
      <w:pPr>
        <w:pStyle w:val="BodyText"/>
        <w:spacing w:before="5"/>
        <w:rPr>
          <w:lang w:val="en-ZA"/>
        </w:rPr>
      </w:pPr>
    </w:p>
    <w:p w14:paraId="725A4E39" w14:textId="6AE22633" w:rsidR="00822FC0" w:rsidRPr="00EB4FA2" w:rsidRDefault="482FBF5A" w:rsidP="00F027A2">
      <w:pPr>
        <w:pStyle w:val="1Section"/>
        <w:numPr>
          <w:ilvl w:val="0"/>
          <w:numId w:val="37"/>
        </w:numPr>
        <w:spacing w:line="276" w:lineRule="auto"/>
        <w:ind w:left="450" w:hanging="360"/>
      </w:pPr>
      <w:bookmarkStart w:id="55" w:name="_Toc189212108"/>
      <w:r w:rsidRPr="00EB4FA2">
        <w:t>INCOME TAX: GENERAL BUSINESS TAX</w:t>
      </w:r>
      <w:bookmarkEnd w:id="55"/>
      <w:r w:rsidRPr="00EB4FA2">
        <w:t xml:space="preserve"> </w:t>
      </w:r>
    </w:p>
    <w:p w14:paraId="313C9EA7" w14:textId="77777777" w:rsidR="00375F5E" w:rsidRPr="00EB4FA2" w:rsidRDefault="00375F5E" w:rsidP="251BE3F0">
      <w:pPr>
        <w:pStyle w:val="BodyText"/>
        <w:spacing w:before="7"/>
        <w:rPr>
          <w:sz w:val="18"/>
          <w:szCs w:val="18"/>
          <w:lang w:val="en-ZA"/>
        </w:rPr>
      </w:pPr>
    </w:p>
    <w:p w14:paraId="45B524C9" w14:textId="433ACADC" w:rsidR="33EBC734" w:rsidRPr="003F111D" w:rsidRDefault="002B3EC1" w:rsidP="003F111D">
      <w:pPr>
        <w:pStyle w:val="Heading3"/>
        <w:numPr>
          <w:ilvl w:val="1"/>
          <w:numId w:val="37"/>
        </w:numPr>
        <w:tabs>
          <w:tab w:val="left" w:pos="961"/>
        </w:tabs>
        <w:spacing w:before="0" w:line="259" w:lineRule="auto"/>
        <w:rPr>
          <w:sz w:val="22"/>
          <w:szCs w:val="22"/>
          <w:lang w:val="en-ZA"/>
        </w:rPr>
      </w:pPr>
      <w:bookmarkStart w:id="56" w:name="_Toc189212109"/>
      <w:r w:rsidRPr="003F111D">
        <w:rPr>
          <w:sz w:val="22"/>
          <w:szCs w:val="22"/>
          <w:lang w:val="en-ZA"/>
        </w:rPr>
        <w:t>Reviewing the connected person definition in relation to partnerships</w:t>
      </w:r>
      <w:bookmarkEnd w:id="56"/>
      <w:r w:rsidRPr="003F111D">
        <w:rPr>
          <w:sz w:val="22"/>
          <w:szCs w:val="22"/>
          <w:lang w:val="en-ZA"/>
        </w:rPr>
        <w:t xml:space="preserve"> </w:t>
      </w:r>
    </w:p>
    <w:p w14:paraId="7D827439" w14:textId="7F2FE05A" w:rsidR="33EBC734" w:rsidRPr="005667E8" w:rsidRDefault="5CAB5B7C" w:rsidP="0038739C">
      <w:pPr>
        <w:pStyle w:val="ListParagraph"/>
        <w:ind w:left="960"/>
        <w:rPr>
          <w:lang w:val="en-ZA"/>
        </w:rPr>
      </w:pPr>
      <w:r w:rsidRPr="00403DF5">
        <w:rPr>
          <w:rFonts w:eastAsia="Arial MT"/>
          <w:lang w:val="en-ZA"/>
        </w:rPr>
        <w:t>(Main reference: Section 1 of the Act</w:t>
      </w:r>
      <w:r w:rsidR="41658522" w:rsidRPr="00403DF5">
        <w:rPr>
          <w:rFonts w:eastAsia="Arial MT"/>
          <w:lang w:val="en-ZA"/>
        </w:rPr>
        <w:t>: Clause 1 of the draft TLAB</w:t>
      </w:r>
      <w:r w:rsidRPr="00403DF5">
        <w:rPr>
          <w:rFonts w:eastAsia="Arial MT"/>
          <w:lang w:val="en-ZA"/>
        </w:rPr>
        <w:t>)</w:t>
      </w:r>
    </w:p>
    <w:p w14:paraId="686C978D" w14:textId="12600E7C" w:rsidR="6BF0EF6B" w:rsidRPr="00403DF5" w:rsidRDefault="6BF0EF6B" w:rsidP="00403DF5">
      <w:pPr>
        <w:pStyle w:val="BodyText"/>
        <w:spacing w:line="271" w:lineRule="auto"/>
        <w:ind w:left="831" w:right="152"/>
        <w:jc w:val="both"/>
        <w:rPr>
          <w:rFonts w:ascii="Arial" w:hAnsi="Arial" w:cs="Arial"/>
          <w:iCs/>
          <w:lang w:val="en-ZA"/>
        </w:rPr>
      </w:pPr>
    </w:p>
    <w:p w14:paraId="5B8DB638" w14:textId="5265770C" w:rsidR="33EBC734" w:rsidRPr="00403DF5" w:rsidRDefault="5CAB5B7C" w:rsidP="00403DF5">
      <w:pPr>
        <w:pStyle w:val="BodyText"/>
        <w:spacing w:line="271" w:lineRule="auto"/>
        <w:ind w:left="831" w:right="152"/>
        <w:jc w:val="both"/>
        <w:rPr>
          <w:rFonts w:ascii="Arial" w:hAnsi="Arial" w:cs="Arial"/>
          <w:iCs/>
          <w:sz w:val="22"/>
          <w:szCs w:val="22"/>
          <w:lang w:val="en-ZA"/>
        </w:rPr>
      </w:pPr>
      <w:r w:rsidRPr="00403DF5">
        <w:rPr>
          <w:rFonts w:ascii="Arial" w:hAnsi="Arial" w:cs="Arial"/>
          <w:iCs/>
          <w:sz w:val="22"/>
          <w:szCs w:val="22"/>
          <w:lang w:val="en-ZA"/>
        </w:rPr>
        <w:t xml:space="preserve">Currently, paragraph (c) of the definition of “connected person” in section 1 of the Act provides that, in the context of a “partnership” or “foreign partnership” as defined in section 1, each member of such partnership is a connected person in relation to any other member of such partnership and any connected person in relation to any member of such partnership or foreign partnership. </w:t>
      </w:r>
    </w:p>
    <w:p w14:paraId="307A45A3" w14:textId="77777777" w:rsidR="00944EE0" w:rsidRPr="00403DF5" w:rsidRDefault="00944EE0" w:rsidP="00403DF5">
      <w:pPr>
        <w:pStyle w:val="BodyText"/>
        <w:spacing w:line="271" w:lineRule="auto"/>
        <w:ind w:left="831" w:right="152"/>
        <w:jc w:val="both"/>
        <w:rPr>
          <w:rFonts w:ascii="Arial" w:hAnsi="Arial" w:cs="Arial"/>
          <w:iCs/>
          <w:sz w:val="22"/>
          <w:szCs w:val="22"/>
          <w:lang w:val="en-ZA"/>
        </w:rPr>
      </w:pPr>
    </w:p>
    <w:p w14:paraId="2CCB99FF" w14:textId="7362CDB3" w:rsidR="33EBC734" w:rsidRPr="00403DF5" w:rsidRDefault="5CAB5B7C" w:rsidP="00403DF5">
      <w:pPr>
        <w:pStyle w:val="BodyText"/>
        <w:spacing w:line="271" w:lineRule="auto"/>
        <w:ind w:left="831" w:right="152"/>
        <w:jc w:val="both"/>
        <w:rPr>
          <w:rFonts w:ascii="Arial" w:hAnsi="Arial" w:cs="Arial"/>
          <w:iCs/>
          <w:sz w:val="22"/>
          <w:szCs w:val="22"/>
          <w:lang w:val="en-ZA"/>
        </w:rPr>
      </w:pPr>
      <w:r w:rsidRPr="00403DF5">
        <w:rPr>
          <w:rFonts w:ascii="Arial" w:hAnsi="Arial" w:cs="Arial"/>
          <w:iCs/>
          <w:sz w:val="22"/>
          <w:szCs w:val="22"/>
          <w:lang w:val="en-ZA"/>
        </w:rPr>
        <w:t>As a result, large corporate investors forming part of a large group of companies which invest in fund partnerships inadvertently become connected to other commercially unrelated corporate investors and connected parties in relation to such investors and to each other in relation to all other unrelated transactions that are entered into by these investors.</w:t>
      </w:r>
    </w:p>
    <w:p w14:paraId="47EB1C29" w14:textId="77777777" w:rsidR="008671E8" w:rsidRPr="00403DF5" w:rsidRDefault="008671E8" w:rsidP="00403DF5">
      <w:pPr>
        <w:pStyle w:val="BodyText"/>
        <w:spacing w:line="271" w:lineRule="auto"/>
        <w:ind w:left="831" w:right="152"/>
        <w:jc w:val="both"/>
        <w:rPr>
          <w:rFonts w:ascii="Arial" w:hAnsi="Arial" w:cs="Arial"/>
          <w:iCs/>
          <w:sz w:val="22"/>
          <w:szCs w:val="22"/>
          <w:lang w:val="en-ZA"/>
        </w:rPr>
      </w:pPr>
    </w:p>
    <w:p w14:paraId="79E5048C" w14:textId="5341226D" w:rsidR="33EBC734" w:rsidRPr="00403DF5" w:rsidRDefault="5CAB5B7C" w:rsidP="00403DF5">
      <w:pPr>
        <w:pStyle w:val="BodyText"/>
        <w:spacing w:line="271" w:lineRule="auto"/>
        <w:ind w:left="831" w:right="152"/>
        <w:jc w:val="both"/>
        <w:rPr>
          <w:rFonts w:ascii="Arial" w:hAnsi="Arial" w:cs="Arial"/>
          <w:iCs/>
          <w:sz w:val="22"/>
          <w:szCs w:val="22"/>
          <w:lang w:val="en-ZA"/>
        </w:rPr>
      </w:pPr>
      <w:r w:rsidRPr="00403DF5">
        <w:rPr>
          <w:rFonts w:ascii="Arial" w:hAnsi="Arial" w:cs="Arial"/>
          <w:iCs/>
          <w:sz w:val="22"/>
          <w:szCs w:val="22"/>
          <w:lang w:val="en-ZA"/>
        </w:rPr>
        <w:t xml:space="preserve">It has come to Government’s attention that limited partners in an </w:t>
      </w:r>
      <w:r w:rsidRPr="00403DF5">
        <w:rPr>
          <w:rFonts w:ascii="Arial" w:hAnsi="Arial" w:cs="Arial"/>
          <w:i/>
          <w:sz w:val="22"/>
          <w:szCs w:val="22"/>
          <w:lang w:val="en-ZA"/>
        </w:rPr>
        <w:t>en commandite</w:t>
      </w:r>
      <w:r w:rsidRPr="00403DF5">
        <w:rPr>
          <w:rFonts w:ascii="Arial" w:hAnsi="Arial" w:cs="Arial"/>
          <w:iCs/>
          <w:sz w:val="22"/>
          <w:szCs w:val="22"/>
          <w:lang w:val="en-ZA"/>
        </w:rPr>
        <w:t xml:space="preserve"> partnership (a partnership carried out in the name of only some of the partners; the undisclosed partners contribute a fixed sum and are not liable for more than their capital contribution in case of a loss) are affected by the wide ambit of paragraph (c) of the definition of “connected person”. Therefore, it is proposed that the definition of a “connected person” be amended to exclude “qualifying investors” due to their isolated involvement in the partnership</w:t>
      </w:r>
      <w:r w:rsidR="00944EE0" w:rsidRPr="00403DF5">
        <w:rPr>
          <w:rFonts w:ascii="Arial" w:hAnsi="Arial" w:cs="Arial"/>
          <w:iCs/>
          <w:sz w:val="22"/>
          <w:szCs w:val="22"/>
          <w:lang w:val="en-ZA"/>
        </w:rPr>
        <w:t>.</w:t>
      </w:r>
    </w:p>
    <w:p w14:paraId="76B06DF4" w14:textId="2EA1F829" w:rsidR="6BF0EF6B" w:rsidRPr="003F111D" w:rsidRDefault="6BF0EF6B" w:rsidP="6BF0EF6B">
      <w:pPr>
        <w:ind w:left="53"/>
        <w:jc w:val="both"/>
        <w:rPr>
          <w:sz w:val="21"/>
          <w:szCs w:val="21"/>
        </w:rPr>
      </w:pPr>
    </w:p>
    <w:p w14:paraId="3F507BDB" w14:textId="2F972F24" w:rsidR="6BF0EF6B" w:rsidRPr="00403DF5" w:rsidRDefault="1652A20A" w:rsidP="004E5BD4">
      <w:pPr>
        <w:pStyle w:val="BodyText"/>
        <w:spacing w:line="271" w:lineRule="auto"/>
        <w:ind w:left="492" w:right="153"/>
        <w:jc w:val="both"/>
        <w:rPr>
          <w:rFonts w:ascii="Arial"/>
          <w:sz w:val="22"/>
          <w:szCs w:val="22"/>
          <w:lang w:val="en-ZA"/>
        </w:rPr>
      </w:pPr>
      <w:r w:rsidRPr="003F111D">
        <w:rPr>
          <w:rFonts w:ascii="Arial" w:hAnsi="Arial" w:cs="Arial"/>
          <w:i/>
          <w:sz w:val="22"/>
          <w:szCs w:val="22"/>
          <w:lang w:val="en-ZA"/>
        </w:rPr>
        <w:t xml:space="preserve">Comment: </w:t>
      </w:r>
      <w:r w:rsidR="59BF2EC6" w:rsidRPr="00403DF5">
        <w:rPr>
          <w:rFonts w:ascii="Arial"/>
          <w:sz w:val="22"/>
          <w:szCs w:val="22"/>
          <w:lang w:val="en-ZA"/>
        </w:rPr>
        <w:t>The proposed amendment is currently limited to only paragraph (</w:t>
      </w:r>
      <w:r w:rsidR="59BF2EC6" w:rsidRPr="00403DF5">
        <w:rPr>
          <w:rFonts w:ascii="Arial"/>
          <w:i/>
          <w:iCs/>
          <w:sz w:val="22"/>
          <w:szCs w:val="22"/>
          <w:lang w:val="en-ZA"/>
        </w:rPr>
        <w:t>c</w:t>
      </w:r>
      <w:r w:rsidR="59BF2EC6" w:rsidRPr="00403DF5">
        <w:rPr>
          <w:rFonts w:ascii="Arial"/>
          <w:sz w:val="22"/>
          <w:szCs w:val="22"/>
          <w:lang w:val="en-ZA"/>
        </w:rPr>
        <w:t xml:space="preserve">)(ii) of the definition of </w:t>
      </w:r>
      <w:r w:rsidR="13303753" w:rsidRPr="00403DF5">
        <w:rPr>
          <w:rFonts w:ascii="Arial"/>
          <w:sz w:val="22"/>
          <w:szCs w:val="22"/>
          <w:lang w:val="en-ZA"/>
        </w:rPr>
        <w:t>“</w:t>
      </w:r>
      <w:r w:rsidR="59BF2EC6" w:rsidRPr="00403DF5">
        <w:rPr>
          <w:rFonts w:ascii="Arial"/>
          <w:sz w:val="22"/>
          <w:szCs w:val="22"/>
          <w:lang w:val="en-ZA"/>
        </w:rPr>
        <w:t>connected person</w:t>
      </w:r>
      <w:r w:rsidR="59BF2EC6" w:rsidRPr="00403DF5">
        <w:rPr>
          <w:rFonts w:ascii="Arial"/>
          <w:sz w:val="22"/>
          <w:szCs w:val="22"/>
          <w:lang w:val="en-ZA"/>
        </w:rPr>
        <w:t>”</w:t>
      </w:r>
      <w:r w:rsidR="59BF2EC6" w:rsidRPr="00403DF5">
        <w:rPr>
          <w:rFonts w:ascii="Arial"/>
          <w:sz w:val="22"/>
          <w:szCs w:val="22"/>
          <w:lang w:val="en-ZA"/>
        </w:rPr>
        <w:t xml:space="preserve">. This part of the definition relates to connected persons in relation to members of a partnership and not members themselves. The result is that, for example, the members of an </w:t>
      </w:r>
      <w:r w:rsidR="59BF2EC6" w:rsidRPr="00403DF5">
        <w:rPr>
          <w:rFonts w:ascii="Arial"/>
          <w:i/>
          <w:iCs/>
          <w:sz w:val="22"/>
          <w:szCs w:val="22"/>
          <w:lang w:val="en-ZA"/>
        </w:rPr>
        <w:t>en commandite</w:t>
      </w:r>
      <w:r w:rsidR="59BF2EC6" w:rsidRPr="00403DF5">
        <w:rPr>
          <w:rFonts w:ascii="Arial"/>
          <w:sz w:val="22"/>
          <w:szCs w:val="22"/>
          <w:lang w:val="en-ZA"/>
        </w:rPr>
        <w:t xml:space="preserve"> partnership will continue to be connected persons while the proposed amendment will only result in connected persons in relation to one member not being connected persons in relation to another member by virtue of that part of the connected person definition</w:t>
      </w:r>
      <w:r w:rsidR="7568D584" w:rsidRPr="00403DF5">
        <w:rPr>
          <w:rFonts w:ascii="Arial"/>
          <w:sz w:val="22"/>
          <w:szCs w:val="22"/>
          <w:lang w:val="en-ZA"/>
        </w:rPr>
        <w:t>. It is recommended that the exclusion of limited partners should apply to the entirety of the connected person definition.</w:t>
      </w:r>
    </w:p>
    <w:p w14:paraId="7A5F0F24" w14:textId="77777777" w:rsidR="00CA1F11" w:rsidRPr="003F111D" w:rsidRDefault="00CA1F11" w:rsidP="003F111D">
      <w:pPr>
        <w:pStyle w:val="BodyText"/>
        <w:spacing w:line="271" w:lineRule="auto"/>
        <w:ind w:left="492" w:right="153"/>
        <w:jc w:val="both"/>
        <w:rPr>
          <w:rFonts w:ascii="Arial" w:hAnsi="Arial" w:cs="Arial"/>
          <w:i/>
        </w:rPr>
      </w:pPr>
    </w:p>
    <w:p w14:paraId="6CC6D223" w14:textId="7E124F9F" w:rsidR="00BE5327" w:rsidRPr="00403DF5" w:rsidRDefault="0038739C" w:rsidP="5B90F70C">
      <w:pPr>
        <w:pStyle w:val="BodyText"/>
        <w:spacing w:line="271" w:lineRule="auto"/>
        <w:ind w:left="831" w:right="152"/>
        <w:jc w:val="both"/>
        <w:rPr>
          <w:rFonts w:ascii="Arial"/>
          <w:sz w:val="22"/>
          <w:szCs w:val="22"/>
        </w:rPr>
      </w:pPr>
      <w:r w:rsidRPr="5B90F70C">
        <w:rPr>
          <w:rFonts w:ascii="Arial" w:hAnsi="Arial" w:cs="Arial"/>
          <w:i/>
          <w:iCs/>
          <w:sz w:val="22"/>
          <w:szCs w:val="22"/>
        </w:rPr>
        <w:t xml:space="preserve">Response: </w:t>
      </w:r>
      <w:r w:rsidRPr="5B90F70C">
        <w:rPr>
          <w:rFonts w:ascii="Arial"/>
          <w:sz w:val="22"/>
          <w:szCs w:val="22"/>
          <w:u w:val="single"/>
        </w:rPr>
        <w:t>Not accepted</w:t>
      </w:r>
      <w:r w:rsidRPr="5B90F70C">
        <w:rPr>
          <w:rFonts w:ascii="Arial"/>
          <w:sz w:val="22"/>
          <w:szCs w:val="22"/>
        </w:rPr>
        <w:t>. The proposed amendment is limited to the scope of connected persons in relation to members of a partnership (paragraph (</w:t>
      </w:r>
      <w:r w:rsidRPr="5B90F70C">
        <w:rPr>
          <w:rFonts w:ascii="Arial"/>
          <w:i/>
          <w:iCs/>
          <w:sz w:val="22"/>
          <w:szCs w:val="22"/>
        </w:rPr>
        <w:t>c</w:t>
      </w:r>
      <w:r w:rsidRPr="5B90F70C">
        <w:rPr>
          <w:rFonts w:ascii="Arial"/>
          <w:sz w:val="22"/>
          <w:szCs w:val="22"/>
        </w:rPr>
        <w:t>)(ii)) by design and not the members themselves. Any further expansion to the proposed exception, to also include the members themselves, are out of scope as it would be a massive policy shift and essentially counter the anti-avoidance nature of the concept of "connected person</w:t>
      </w:r>
      <w:r w:rsidRPr="5B90F70C">
        <w:rPr>
          <w:rFonts w:ascii="Arial"/>
          <w:sz w:val="22"/>
          <w:szCs w:val="22"/>
        </w:rPr>
        <w:t>”</w:t>
      </w:r>
      <w:r w:rsidRPr="5B90F70C">
        <w:rPr>
          <w:rFonts w:ascii="Arial"/>
          <w:sz w:val="22"/>
          <w:szCs w:val="22"/>
        </w:rPr>
        <w:t>.</w:t>
      </w:r>
    </w:p>
    <w:p w14:paraId="1F4D3556" w14:textId="77777777" w:rsidR="0038739C" w:rsidRPr="003F111D" w:rsidRDefault="0038739C" w:rsidP="003F111D">
      <w:pPr>
        <w:pStyle w:val="BodyText"/>
        <w:spacing w:line="271" w:lineRule="auto"/>
        <w:ind w:left="831" w:right="152"/>
        <w:jc w:val="both"/>
      </w:pPr>
    </w:p>
    <w:p w14:paraId="01EC2FC6" w14:textId="7FEF2391" w:rsidR="55B5628D" w:rsidRPr="004C639D" w:rsidRDefault="55B5628D" w:rsidP="004E5BD4">
      <w:pPr>
        <w:pStyle w:val="BodyText"/>
        <w:spacing w:line="271" w:lineRule="auto"/>
        <w:ind w:left="492" w:right="153"/>
        <w:jc w:val="both"/>
        <w:rPr>
          <w:rFonts w:ascii="Arial" w:hAnsi="Arial" w:cs="Arial"/>
          <w:i/>
          <w:sz w:val="22"/>
          <w:szCs w:val="22"/>
          <w:lang w:val="en-ZA"/>
        </w:rPr>
      </w:pPr>
      <w:r w:rsidRPr="003F111D">
        <w:rPr>
          <w:rFonts w:ascii="Arial" w:hAnsi="Arial" w:cs="Arial"/>
          <w:i/>
          <w:sz w:val="22"/>
          <w:szCs w:val="22"/>
          <w:lang w:val="en-ZA"/>
        </w:rPr>
        <w:t xml:space="preserve">Comment: </w:t>
      </w:r>
      <w:r w:rsidRPr="00403DF5">
        <w:rPr>
          <w:rFonts w:ascii="Arial"/>
          <w:sz w:val="22"/>
          <w:szCs w:val="22"/>
          <w:lang w:val="en-ZA"/>
        </w:rPr>
        <w:t>The ambit of the partnership provision within the</w:t>
      </w:r>
      <w:r w:rsidR="01B6143E" w:rsidRPr="00403DF5">
        <w:rPr>
          <w:rFonts w:ascii="Arial"/>
          <w:sz w:val="22"/>
          <w:szCs w:val="22"/>
          <w:lang w:val="en-ZA"/>
        </w:rPr>
        <w:t xml:space="preserve"> definition of a "connected person</w:t>
      </w:r>
      <w:r w:rsidR="01B6143E" w:rsidRPr="00403DF5">
        <w:rPr>
          <w:rFonts w:ascii="Arial"/>
          <w:sz w:val="22"/>
          <w:szCs w:val="22"/>
          <w:lang w:val="en-ZA"/>
        </w:rPr>
        <w:t>”</w:t>
      </w:r>
      <w:r w:rsidR="1AF7BC15" w:rsidRPr="00403DF5">
        <w:rPr>
          <w:rFonts w:ascii="Arial"/>
          <w:sz w:val="22"/>
          <w:szCs w:val="22"/>
          <w:lang w:val="en-ZA"/>
        </w:rPr>
        <w:t xml:space="preserve"> </w:t>
      </w:r>
      <w:r w:rsidRPr="00403DF5">
        <w:rPr>
          <w:rFonts w:ascii="Arial"/>
          <w:sz w:val="22"/>
          <w:szCs w:val="22"/>
          <w:lang w:val="en-ZA"/>
        </w:rPr>
        <w:t>remains too wide with anomalous and unintended consequences. Accordingly, it is submitted that the proposed amendments do not go far enough and the definition in the context of partnerships should be removed in its entirety.</w:t>
      </w:r>
    </w:p>
    <w:p w14:paraId="3F7FEF6B" w14:textId="77777777" w:rsidR="00CA1F11" w:rsidRPr="003F111D" w:rsidRDefault="00CA1F11" w:rsidP="003F111D">
      <w:pPr>
        <w:pStyle w:val="BodyText"/>
        <w:spacing w:line="271" w:lineRule="auto"/>
        <w:ind w:right="153"/>
        <w:jc w:val="both"/>
        <w:rPr>
          <w:rFonts w:ascii="Arial" w:hAnsi="Arial" w:cs="Arial"/>
          <w:i/>
          <w:sz w:val="22"/>
          <w:szCs w:val="22"/>
          <w:lang w:val="en-ZA"/>
        </w:rPr>
      </w:pPr>
    </w:p>
    <w:p w14:paraId="2312F9F4" w14:textId="18DB684B" w:rsidR="0038739C" w:rsidRPr="003F111D" w:rsidRDefault="0038739C" w:rsidP="5B90F70C">
      <w:pPr>
        <w:pStyle w:val="BodyText"/>
        <w:spacing w:line="271" w:lineRule="auto"/>
        <w:ind w:left="831" w:right="152"/>
        <w:jc w:val="both"/>
        <w:rPr>
          <w:rFonts w:ascii="Arial" w:hAnsi="Arial" w:cs="Arial"/>
          <w:i/>
          <w:iCs/>
          <w:sz w:val="22"/>
          <w:szCs w:val="22"/>
        </w:rPr>
      </w:pPr>
      <w:r w:rsidRPr="5B90F70C">
        <w:rPr>
          <w:rFonts w:ascii="Arial" w:hAnsi="Arial" w:cs="Arial"/>
          <w:i/>
          <w:iCs/>
          <w:sz w:val="22"/>
          <w:szCs w:val="22"/>
        </w:rPr>
        <w:t xml:space="preserve">Response: </w:t>
      </w:r>
      <w:r w:rsidRPr="5B90F70C">
        <w:rPr>
          <w:rFonts w:ascii="Arial"/>
          <w:sz w:val="22"/>
          <w:szCs w:val="22"/>
          <w:u w:val="single"/>
        </w:rPr>
        <w:t>Not accepted</w:t>
      </w:r>
      <w:r w:rsidRPr="5B90F70C">
        <w:rPr>
          <w:rFonts w:ascii="Arial"/>
          <w:sz w:val="22"/>
          <w:szCs w:val="22"/>
        </w:rPr>
        <w:t>. The comment is out of scope in relation to the proposed and directed amendment. The submission would be a massive policy shift, requiring an intense review of the long-standing tax policy intent around the anti-avoidance nature of the concept of "connected person</w:t>
      </w:r>
      <w:r w:rsidRPr="5B90F70C">
        <w:rPr>
          <w:rFonts w:ascii="Arial"/>
          <w:sz w:val="22"/>
          <w:szCs w:val="22"/>
        </w:rPr>
        <w:t>”</w:t>
      </w:r>
      <w:r w:rsidRPr="5B90F70C">
        <w:rPr>
          <w:rFonts w:ascii="Arial"/>
          <w:sz w:val="22"/>
          <w:szCs w:val="22"/>
        </w:rPr>
        <w:t>.</w:t>
      </w:r>
    </w:p>
    <w:p w14:paraId="1846606F" w14:textId="3DF4768F" w:rsidR="6BF0EF6B" w:rsidRPr="004C639D" w:rsidRDefault="6BF0EF6B" w:rsidP="003F111D">
      <w:pPr>
        <w:pStyle w:val="Heading3"/>
        <w:tabs>
          <w:tab w:val="left" w:pos="961"/>
        </w:tabs>
        <w:spacing w:before="0" w:line="259" w:lineRule="auto"/>
        <w:ind w:left="0" w:firstLine="0"/>
        <w:rPr>
          <w:lang w:val="en-ZA"/>
        </w:rPr>
      </w:pPr>
    </w:p>
    <w:p w14:paraId="7D9F4CB9" w14:textId="58B33A27" w:rsidR="00375F5E" w:rsidRPr="003F111D" w:rsidRDefault="002B3EC1" w:rsidP="0D47019B">
      <w:pPr>
        <w:pStyle w:val="Heading3"/>
        <w:numPr>
          <w:ilvl w:val="1"/>
          <w:numId w:val="37"/>
        </w:numPr>
        <w:tabs>
          <w:tab w:val="left" w:pos="961"/>
        </w:tabs>
        <w:spacing w:before="0" w:line="259" w:lineRule="auto"/>
        <w:rPr>
          <w:sz w:val="22"/>
          <w:szCs w:val="22"/>
          <w:lang w:val="en-ZA"/>
        </w:rPr>
      </w:pPr>
      <w:bookmarkStart w:id="57" w:name="_Toc189212110"/>
      <w:r w:rsidRPr="003F111D">
        <w:rPr>
          <w:sz w:val="22"/>
          <w:szCs w:val="22"/>
          <w:lang w:val="en-ZA"/>
        </w:rPr>
        <w:t>Limiting interest deductions in respect of reorganisation and acquisition transactions</w:t>
      </w:r>
      <w:bookmarkEnd w:id="57"/>
      <w:r w:rsidRPr="003F111D">
        <w:rPr>
          <w:sz w:val="22"/>
          <w:szCs w:val="22"/>
          <w:lang w:val="en-ZA"/>
        </w:rPr>
        <w:t xml:space="preserve">  </w:t>
      </w:r>
      <w:bookmarkStart w:id="58" w:name="_Hlk147212051"/>
    </w:p>
    <w:bookmarkEnd w:id="58"/>
    <w:p w14:paraId="634F502A" w14:textId="0EB5D226" w:rsidR="00375F5E" w:rsidRPr="004C639D" w:rsidRDefault="454DE0F2" w:rsidP="00195633">
      <w:pPr>
        <w:pStyle w:val="BodyText"/>
        <w:spacing w:before="158"/>
        <w:ind w:left="555"/>
        <w:jc w:val="both"/>
        <w:rPr>
          <w:lang w:val="en-ZA"/>
        </w:rPr>
      </w:pPr>
      <w:r w:rsidRPr="003F111D">
        <w:rPr>
          <w:lang w:val="en-ZA"/>
        </w:rPr>
        <w:t>(</w:t>
      </w:r>
      <w:bookmarkStart w:id="59" w:name="_Hlk147212803"/>
      <w:r w:rsidRPr="003F111D">
        <w:rPr>
          <w:lang w:val="en-ZA"/>
        </w:rPr>
        <w:t xml:space="preserve">Main reference: </w:t>
      </w:r>
      <w:r w:rsidR="4F7E7E7E" w:rsidRPr="003F111D">
        <w:rPr>
          <w:rFonts w:ascii="Arial" w:eastAsia="Arial" w:hAnsi="Arial" w:cs="Arial"/>
          <w:color w:val="000000" w:themeColor="text1"/>
          <w:sz w:val="22"/>
          <w:szCs w:val="22"/>
          <w:lang w:val="en-ZA"/>
        </w:rPr>
        <w:t>Section 23N of the Act</w:t>
      </w:r>
      <w:r w:rsidR="00545875" w:rsidRPr="003F111D">
        <w:rPr>
          <w:rFonts w:ascii="Arial" w:eastAsia="Arial" w:hAnsi="Arial" w:cs="Arial"/>
          <w:color w:val="000000" w:themeColor="text1"/>
          <w:sz w:val="22"/>
          <w:szCs w:val="22"/>
          <w:lang w:val="en-ZA"/>
        </w:rPr>
        <w:t>: Clause 19 of the Draft TLAB</w:t>
      </w:r>
      <w:r w:rsidRPr="003F111D">
        <w:rPr>
          <w:lang w:val="en-ZA"/>
        </w:rPr>
        <w:t>)</w:t>
      </w:r>
      <w:bookmarkEnd w:id="59"/>
    </w:p>
    <w:p w14:paraId="6D4C3B71" w14:textId="77777777" w:rsidR="00CB451A" w:rsidRPr="004C639D" w:rsidRDefault="00CB451A" w:rsidP="005B0C13">
      <w:pPr>
        <w:pStyle w:val="BodyText"/>
        <w:spacing w:before="1" w:line="271" w:lineRule="auto"/>
        <w:ind w:left="492" w:right="152"/>
        <w:jc w:val="both"/>
        <w:rPr>
          <w:lang w:val="en-ZA"/>
        </w:rPr>
      </w:pPr>
    </w:p>
    <w:p w14:paraId="23D874AA" w14:textId="376B6070" w:rsidR="005B0C13" w:rsidRPr="00403DF5" w:rsidRDefault="44AC760F" w:rsidP="00403DF5">
      <w:pPr>
        <w:pStyle w:val="BodyText"/>
        <w:spacing w:line="271" w:lineRule="auto"/>
        <w:ind w:left="831" w:right="152"/>
        <w:jc w:val="both"/>
        <w:rPr>
          <w:rFonts w:ascii="Arial" w:hAnsi="Arial" w:cs="Arial"/>
          <w:iCs/>
          <w:sz w:val="22"/>
          <w:szCs w:val="22"/>
          <w:lang w:val="en-ZA"/>
        </w:rPr>
      </w:pPr>
      <w:r w:rsidRPr="00403DF5">
        <w:rPr>
          <w:rFonts w:ascii="Arial" w:hAnsi="Arial" w:cs="Arial"/>
          <w:iCs/>
          <w:sz w:val="22"/>
          <w:szCs w:val="22"/>
          <w:lang w:val="en-ZA"/>
        </w:rPr>
        <w:t xml:space="preserve">In general, the provisions of limitation of interest deductions in respect of reorganisation and acquisition transactions cater for interest deductions associated with share acquisitions that can be achieved indirectly through the use of the section 45 or section 47 rollover provisions of the Act or under section 24O of the Act because this form of acquisition is comparable to indirect share acquisitions. </w:t>
      </w:r>
    </w:p>
    <w:p w14:paraId="7917D5F0" w14:textId="1D0FD192" w:rsidR="005B0C13" w:rsidRPr="00403DF5" w:rsidRDefault="005B0C13" w:rsidP="00403DF5">
      <w:pPr>
        <w:pStyle w:val="BodyText"/>
        <w:spacing w:line="271" w:lineRule="auto"/>
        <w:ind w:left="831" w:right="152"/>
        <w:jc w:val="both"/>
        <w:rPr>
          <w:rFonts w:ascii="Arial" w:hAnsi="Arial" w:cs="Arial"/>
          <w:iCs/>
          <w:sz w:val="22"/>
          <w:szCs w:val="22"/>
          <w:lang w:val="en-ZA"/>
        </w:rPr>
      </w:pPr>
    </w:p>
    <w:p w14:paraId="2976B71C" w14:textId="591E4923" w:rsidR="005B0C13" w:rsidRPr="00403DF5" w:rsidRDefault="44AC760F" w:rsidP="00403DF5">
      <w:pPr>
        <w:pStyle w:val="BodyText"/>
        <w:spacing w:line="271" w:lineRule="auto"/>
        <w:ind w:left="831" w:right="152"/>
        <w:jc w:val="both"/>
        <w:rPr>
          <w:rFonts w:ascii="Arial" w:hAnsi="Arial" w:cs="Arial"/>
          <w:iCs/>
          <w:sz w:val="22"/>
          <w:szCs w:val="22"/>
          <w:lang w:val="en-ZA"/>
        </w:rPr>
      </w:pPr>
      <w:r w:rsidRPr="00403DF5">
        <w:rPr>
          <w:rFonts w:ascii="Arial" w:hAnsi="Arial" w:cs="Arial"/>
          <w:iCs/>
          <w:sz w:val="22"/>
          <w:szCs w:val="22"/>
          <w:lang w:val="en-ZA"/>
        </w:rPr>
        <w:t xml:space="preserve">The amount of interest allowed to be deducted in terms of all debts owed that are within the scope of section 23N(2) of the Act is subject to an annual limitation pursuant to a defined formula in respect of any year of assessment in which the acquisition transaction or reorganisation transaction is entered into and in respect of five years of assessment immediately following that year of assessment.  </w:t>
      </w:r>
    </w:p>
    <w:p w14:paraId="0C82AEC5" w14:textId="6A1EEDA3" w:rsidR="005B0C13" w:rsidRPr="00403DF5" w:rsidRDefault="44AC760F" w:rsidP="00403DF5">
      <w:pPr>
        <w:pStyle w:val="BodyText"/>
        <w:spacing w:line="271" w:lineRule="auto"/>
        <w:ind w:left="831" w:right="152"/>
        <w:jc w:val="both"/>
        <w:rPr>
          <w:rFonts w:ascii="Arial" w:hAnsi="Arial" w:cs="Arial"/>
          <w:iCs/>
          <w:sz w:val="22"/>
          <w:szCs w:val="22"/>
          <w:lang w:val="en-ZA"/>
        </w:rPr>
      </w:pPr>
      <w:r w:rsidRPr="00403DF5">
        <w:rPr>
          <w:rFonts w:ascii="Arial" w:hAnsi="Arial" w:cs="Arial"/>
          <w:iCs/>
          <w:sz w:val="22"/>
          <w:szCs w:val="22"/>
          <w:lang w:val="en-ZA"/>
        </w:rPr>
        <w:t xml:space="preserve"> </w:t>
      </w:r>
    </w:p>
    <w:p w14:paraId="5FDE9376" w14:textId="4461CF1C" w:rsidR="4A49102E" w:rsidRPr="00403DF5" w:rsidRDefault="7A059104" w:rsidP="00403DF5">
      <w:pPr>
        <w:pStyle w:val="BodyText"/>
        <w:spacing w:line="271" w:lineRule="auto"/>
        <w:ind w:left="831" w:right="152"/>
        <w:jc w:val="both"/>
        <w:rPr>
          <w:rFonts w:ascii="Arial" w:hAnsi="Arial" w:cs="Arial"/>
          <w:iCs/>
          <w:sz w:val="22"/>
          <w:szCs w:val="22"/>
          <w:lang w:val="en-ZA"/>
        </w:rPr>
      </w:pPr>
      <w:r w:rsidRPr="00403DF5">
        <w:rPr>
          <w:rFonts w:ascii="Arial" w:hAnsi="Arial" w:cs="Arial"/>
          <w:iCs/>
          <w:sz w:val="22"/>
          <w:szCs w:val="22"/>
          <w:lang w:val="en-ZA"/>
        </w:rPr>
        <w:t xml:space="preserve">In 2021 amendments were made to section 23M of the Act that formed part of the corporate tax package to broaden the tax base and reduce the headline corporate income tax rate in a revenue neutral manner. The percentage calculated under the formula was replaced by a fixed amount of 0,3 (i.e. 30%).  Further changes were made in </w:t>
      </w:r>
      <w:r w:rsidR="44AC760F" w:rsidRPr="00403DF5">
        <w:rPr>
          <w:rFonts w:ascii="Arial" w:hAnsi="Arial" w:cs="Arial"/>
          <w:iCs/>
          <w:sz w:val="22"/>
          <w:szCs w:val="22"/>
          <w:lang w:val="en-ZA"/>
        </w:rPr>
        <w:t>2023 to the definition of “adjusted taxable income” in section 23M of Act</w:t>
      </w:r>
      <w:r w:rsidR="22D251CF" w:rsidRPr="00403DF5">
        <w:rPr>
          <w:rFonts w:ascii="Arial" w:hAnsi="Arial" w:cs="Arial"/>
          <w:iCs/>
          <w:sz w:val="22"/>
          <w:szCs w:val="22"/>
          <w:lang w:val="en-ZA"/>
        </w:rPr>
        <w:t>.</w:t>
      </w:r>
      <w:r w:rsidR="44AC760F" w:rsidRPr="00403DF5">
        <w:rPr>
          <w:rFonts w:ascii="Arial" w:hAnsi="Arial" w:cs="Arial"/>
          <w:iCs/>
          <w:sz w:val="22"/>
          <w:szCs w:val="22"/>
          <w:lang w:val="en-ZA"/>
        </w:rPr>
        <w:t xml:space="preserve"> </w:t>
      </w:r>
    </w:p>
    <w:p w14:paraId="3B551DAE" w14:textId="77777777" w:rsidR="006A5909" w:rsidRPr="00403DF5" w:rsidRDefault="006A5909" w:rsidP="00403DF5">
      <w:pPr>
        <w:pStyle w:val="BodyText"/>
        <w:spacing w:line="271" w:lineRule="auto"/>
        <w:ind w:left="831" w:right="152"/>
        <w:jc w:val="both"/>
        <w:rPr>
          <w:rFonts w:ascii="Arial" w:hAnsi="Arial" w:cs="Arial"/>
          <w:iCs/>
          <w:sz w:val="22"/>
          <w:szCs w:val="22"/>
          <w:lang w:val="en-ZA"/>
        </w:rPr>
      </w:pPr>
    </w:p>
    <w:p w14:paraId="7C13A4C6" w14:textId="46FEE2F1" w:rsidR="005B0C13" w:rsidRPr="00403DF5" w:rsidRDefault="44AC760F" w:rsidP="00403DF5">
      <w:pPr>
        <w:pStyle w:val="BodyText"/>
        <w:spacing w:line="271" w:lineRule="auto"/>
        <w:ind w:left="831" w:right="152"/>
        <w:jc w:val="both"/>
        <w:rPr>
          <w:rFonts w:ascii="Arial" w:hAnsi="Arial" w:cs="Arial"/>
          <w:iCs/>
          <w:sz w:val="22"/>
          <w:szCs w:val="22"/>
          <w:lang w:val="en-ZA"/>
        </w:rPr>
      </w:pPr>
      <w:r w:rsidRPr="00403DF5">
        <w:rPr>
          <w:rFonts w:ascii="Arial" w:hAnsi="Arial" w:cs="Arial"/>
          <w:iCs/>
          <w:sz w:val="22"/>
          <w:szCs w:val="22"/>
          <w:lang w:val="en-ZA"/>
        </w:rPr>
        <w:t xml:space="preserve">Given that the nature of limitation of interest deductions in respect of reorganisation and acquisition transaction rules is broadly similar to the limitation of interest deductions in respect of debts owed to persons not subject to tax rules, it is proposed that the amendments made to section 23M of the Act be mirrored in section 23N of the Act.  </w:t>
      </w:r>
    </w:p>
    <w:p w14:paraId="4B5B39EB" w14:textId="77777777" w:rsidR="00523EA7" w:rsidRPr="004C639D" w:rsidRDefault="00523EA7" w:rsidP="00403DF5">
      <w:pPr>
        <w:pStyle w:val="BodyText"/>
        <w:spacing w:before="1" w:line="271" w:lineRule="auto"/>
        <w:ind w:right="152"/>
        <w:jc w:val="both"/>
        <w:rPr>
          <w:lang w:val="en-ZA"/>
        </w:rPr>
      </w:pPr>
      <w:bookmarkStart w:id="60" w:name="_Hlk147810255"/>
    </w:p>
    <w:p w14:paraId="7EA37FB5" w14:textId="0DB7A267" w:rsidR="00CB451A" w:rsidRPr="005708D0" w:rsidRDefault="7A48F1C4" w:rsidP="00CB451A">
      <w:pPr>
        <w:pStyle w:val="BodyText"/>
        <w:spacing w:line="271" w:lineRule="auto"/>
        <w:ind w:left="492" w:right="153"/>
        <w:jc w:val="both"/>
        <w:rPr>
          <w:rFonts w:ascii="Arial" w:hAnsi="Arial" w:cs="Arial"/>
          <w:i/>
          <w:sz w:val="22"/>
          <w:szCs w:val="22"/>
          <w:lang w:val="en-ZA"/>
        </w:rPr>
      </w:pPr>
      <w:bookmarkStart w:id="61" w:name="_Hlk147214356"/>
      <w:r w:rsidRPr="005708D0">
        <w:rPr>
          <w:rFonts w:ascii="Arial" w:hAnsi="Arial" w:cs="Arial"/>
          <w:i/>
          <w:sz w:val="22"/>
          <w:szCs w:val="22"/>
          <w:lang w:val="en-ZA"/>
        </w:rPr>
        <w:t xml:space="preserve">Comment: </w:t>
      </w:r>
      <w:r w:rsidR="136FF0B7" w:rsidRPr="00403DF5">
        <w:rPr>
          <w:rFonts w:ascii="Arial" w:hAnsi="Arial" w:cs="Arial"/>
          <w:sz w:val="22"/>
          <w:szCs w:val="22"/>
          <w:lang w:val="en-ZA"/>
        </w:rPr>
        <w:t>The propos</w:t>
      </w:r>
      <w:r w:rsidR="6B6B5EEB" w:rsidRPr="00403DF5">
        <w:rPr>
          <w:rFonts w:ascii="Arial" w:hAnsi="Arial" w:cs="Arial"/>
          <w:sz w:val="22"/>
          <w:szCs w:val="22"/>
          <w:lang w:val="en-ZA"/>
        </w:rPr>
        <w:t xml:space="preserve">al to </w:t>
      </w:r>
      <w:r w:rsidR="2D9BCF9C" w:rsidRPr="00403DF5">
        <w:rPr>
          <w:rFonts w:ascii="Arial" w:hAnsi="Arial" w:cs="Arial"/>
          <w:sz w:val="22"/>
          <w:szCs w:val="22"/>
          <w:lang w:val="en-ZA"/>
        </w:rPr>
        <w:t>a</w:t>
      </w:r>
      <w:r w:rsidR="6B6B5EEB" w:rsidRPr="00403DF5">
        <w:rPr>
          <w:rFonts w:ascii="Arial" w:hAnsi="Arial" w:cs="Arial"/>
          <w:sz w:val="22"/>
          <w:szCs w:val="22"/>
          <w:lang w:val="en-ZA"/>
        </w:rPr>
        <w:t xml:space="preserve">lign </w:t>
      </w:r>
      <w:r w:rsidR="1680E956" w:rsidRPr="00403DF5">
        <w:rPr>
          <w:rFonts w:ascii="Arial" w:hAnsi="Arial" w:cs="Arial"/>
          <w:sz w:val="22"/>
          <w:szCs w:val="22"/>
          <w:lang w:val="en-ZA"/>
        </w:rPr>
        <w:t>section</w:t>
      </w:r>
      <w:r w:rsidR="6B6B5EEB" w:rsidRPr="00403DF5">
        <w:rPr>
          <w:rFonts w:ascii="Arial" w:hAnsi="Arial" w:cs="Arial"/>
          <w:sz w:val="22"/>
          <w:szCs w:val="22"/>
          <w:lang w:val="en-ZA"/>
        </w:rPr>
        <w:t xml:space="preserve"> 23N with </w:t>
      </w:r>
      <w:r w:rsidR="42164394" w:rsidRPr="00403DF5">
        <w:rPr>
          <w:rFonts w:ascii="Arial" w:hAnsi="Arial" w:cs="Arial"/>
          <w:sz w:val="22"/>
          <w:szCs w:val="22"/>
          <w:lang w:val="en-ZA"/>
        </w:rPr>
        <w:t>s</w:t>
      </w:r>
      <w:r w:rsidR="6B6B5EEB" w:rsidRPr="00403DF5">
        <w:rPr>
          <w:rFonts w:ascii="Arial" w:hAnsi="Arial" w:cs="Arial"/>
          <w:sz w:val="22"/>
          <w:szCs w:val="22"/>
          <w:lang w:val="en-ZA"/>
        </w:rPr>
        <w:t>ection 23M in terms of the formula may be inappropriate</w:t>
      </w:r>
      <w:r w:rsidR="64A2B1D2" w:rsidRPr="00403DF5">
        <w:rPr>
          <w:rFonts w:ascii="Arial" w:hAnsi="Arial" w:cs="Arial"/>
          <w:sz w:val="22"/>
          <w:szCs w:val="22"/>
          <w:lang w:val="en-ZA"/>
        </w:rPr>
        <w:t xml:space="preserve">. </w:t>
      </w:r>
      <w:r w:rsidR="217BBA8F" w:rsidRPr="00403DF5">
        <w:rPr>
          <w:rFonts w:ascii="Arial" w:hAnsi="Arial" w:cs="Arial"/>
          <w:sz w:val="22"/>
          <w:szCs w:val="22"/>
          <w:lang w:val="en-ZA"/>
        </w:rPr>
        <w:t xml:space="preserve">The formula in section 23N allows for a limitation amounting to 49 per cent of adjusted taxable income. The </w:t>
      </w:r>
      <w:r w:rsidR="30650F76" w:rsidRPr="00403DF5">
        <w:rPr>
          <w:rFonts w:ascii="Arial" w:hAnsi="Arial" w:cs="Arial"/>
          <w:sz w:val="22"/>
          <w:szCs w:val="22"/>
          <w:lang w:val="en-ZA"/>
        </w:rPr>
        <w:t xml:space="preserve">proposed amendments to replace the formula with a fixed amount of </w:t>
      </w:r>
      <w:r w:rsidR="217BBA8F" w:rsidRPr="00403DF5">
        <w:rPr>
          <w:rFonts w:ascii="Arial" w:hAnsi="Arial" w:cs="Arial"/>
          <w:sz w:val="22"/>
          <w:szCs w:val="22"/>
          <w:lang w:val="en-ZA"/>
        </w:rPr>
        <w:t>30</w:t>
      </w:r>
      <w:r w:rsidR="459E5F18" w:rsidRPr="00403DF5">
        <w:rPr>
          <w:rFonts w:ascii="Arial" w:hAnsi="Arial" w:cs="Arial"/>
          <w:sz w:val="22"/>
          <w:szCs w:val="22"/>
          <w:lang w:val="en-ZA"/>
        </w:rPr>
        <w:t xml:space="preserve"> per cent</w:t>
      </w:r>
      <w:r w:rsidR="217BBA8F" w:rsidRPr="00403DF5">
        <w:rPr>
          <w:rFonts w:ascii="Arial" w:hAnsi="Arial" w:cs="Arial"/>
          <w:sz w:val="22"/>
          <w:szCs w:val="22"/>
          <w:lang w:val="en-ZA"/>
        </w:rPr>
        <w:t xml:space="preserve"> will potentially have a</w:t>
      </w:r>
      <w:r w:rsidR="376932EC" w:rsidRPr="00403DF5">
        <w:rPr>
          <w:rFonts w:ascii="Arial" w:hAnsi="Arial" w:cs="Arial"/>
          <w:sz w:val="22"/>
          <w:szCs w:val="22"/>
          <w:lang w:val="en-ZA"/>
        </w:rPr>
        <w:t xml:space="preserve"> </w:t>
      </w:r>
      <w:r w:rsidR="217BBA8F" w:rsidRPr="00403DF5">
        <w:rPr>
          <w:rFonts w:ascii="Arial" w:hAnsi="Arial" w:cs="Arial"/>
          <w:sz w:val="22"/>
          <w:szCs w:val="22"/>
          <w:lang w:val="en-ZA"/>
        </w:rPr>
        <w:t xml:space="preserve">substantial impact on transactions that have already been concluded in a </w:t>
      </w:r>
      <w:r w:rsidR="25F16841" w:rsidRPr="00403DF5">
        <w:rPr>
          <w:rFonts w:ascii="Arial" w:hAnsi="Arial" w:cs="Arial"/>
          <w:sz w:val="22"/>
          <w:szCs w:val="22"/>
          <w:lang w:val="en-ZA"/>
        </w:rPr>
        <w:t>high-interest rate</w:t>
      </w:r>
      <w:r w:rsidR="217BBA8F" w:rsidRPr="00403DF5">
        <w:rPr>
          <w:rFonts w:ascii="Arial" w:hAnsi="Arial" w:cs="Arial"/>
          <w:sz w:val="22"/>
          <w:szCs w:val="22"/>
          <w:lang w:val="en-ZA"/>
        </w:rPr>
        <w:t xml:space="preserve"> environment and undermine the very purpose of the variable formula in s</w:t>
      </w:r>
      <w:r w:rsidR="4CAE439F" w:rsidRPr="00403DF5">
        <w:rPr>
          <w:rFonts w:ascii="Arial" w:hAnsi="Arial" w:cs="Arial"/>
          <w:sz w:val="22"/>
          <w:szCs w:val="22"/>
          <w:lang w:val="en-ZA"/>
        </w:rPr>
        <w:t xml:space="preserve">ection </w:t>
      </w:r>
      <w:r w:rsidR="217BBA8F" w:rsidRPr="00403DF5">
        <w:rPr>
          <w:rFonts w:ascii="Arial" w:hAnsi="Arial" w:cs="Arial"/>
          <w:sz w:val="22"/>
          <w:szCs w:val="22"/>
          <w:lang w:val="en-ZA"/>
        </w:rPr>
        <w:t xml:space="preserve">23N. </w:t>
      </w:r>
      <w:r w:rsidR="4E24B686" w:rsidRPr="00403DF5">
        <w:rPr>
          <w:rFonts w:ascii="Arial" w:hAnsi="Arial" w:cs="Arial"/>
          <w:sz w:val="22"/>
          <w:szCs w:val="22"/>
          <w:lang w:val="en-ZA"/>
        </w:rPr>
        <w:t xml:space="preserve">To limit the impact of the proposal on already concluded </w:t>
      </w:r>
      <w:r w:rsidR="338C8DC3" w:rsidRPr="00403DF5">
        <w:rPr>
          <w:rFonts w:ascii="Arial" w:hAnsi="Arial" w:cs="Arial"/>
          <w:sz w:val="22"/>
          <w:szCs w:val="22"/>
          <w:lang w:val="en-ZA"/>
        </w:rPr>
        <w:t>transactions</w:t>
      </w:r>
      <w:r w:rsidR="4E24B686" w:rsidRPr="00403DF5">
        <w:rPr>
          <w:rFonts w:ascii="Arial" w:hAnsi="Arial" w:cs="Arial"/>
          <w:sz w:val="22"/>
          <w:szCs w:val="22"/>
          <w:lang w:val="en-ZA"/>
        </w:rPr>
        <w:t>, it is</w:t>
      </w:r>
      <w:r w:rsidR="0AEA4DC3" w:rsidRPr="00403DF5">
        <w:rPr>
          <w:rFonts w:ascii="Arial" w:hAnsi="Arial" w:cs="Arial"/>
          <w:sz w:val="22"/>
          <w:szCs w:val="22"/>
          <w:lang w:val="en-ZA"/>
        </w:rPr>
        <w:t xml:space="preserve"> proposed </w:t>
      </w:r>
      <w:r w:rsidR="41DB7B82" w:rsidRPr="00403DF5">
        <w:rPr>
          <w:rFonts w:ascii="Arial" w:hAnsi="Arial" w:cs="Arial"/>
          <w:sz w:val="22"/>
          <w:szCs w:val="22"/>
          <w:lang w:val="en-ZA"/>
        </w:rPr>
        <w:t xml:space="preserve">that the </w:t>
      </w:r>
      <w:r w:rsidR="0AEA4DC3" w:rsidRPr="00403DF5">
        <w:rPr>
          <w:rFonts w:ascii="Arial" w:hAnsi="Arial" w:cs="Arial"/>
          <w:sz w:val="22"/>
          <w:szCs w:val="22"/>
          <w:lang w:val="en-ZA"/>
        </w:rPr>
        <w:t>amendment to the formula</w:t>
      </w:r>
      <w:r w:rsidR="6CA2F7EA" w:rsidRPr="00403DF5">
        <w:rPr>
          <w:rFonts w:ascii="Arial" w:hAnsi="Arial" w:cs="Arial"/>
          <w:sz w:val="22"/>
          <w:szCs w:val="22"/>
          <w:lang w:val="en-ZA"/>
        </w:rPr>
        <w:t xml:space="preserve"> in section 23N</w:t>
      </w:r>
      <w:r w:rsidR="057C53A8" w:rsidRPr="00403DF5">
        <w:rPr>
          <w:rFonts w:ascii="Arial" w:hAnsi="Arial" w:cs="Arial"/>
          <w:sz w:val="22"/>
          <w:szCs w:val="22"/>
          <w:lang w:val="en-ZA"/>
        </w:rPr>
        <w:t xml:space="preserve"> be applied</w:t>
      </w:r>
      <w:r w:rsidR="6CA2F7EA" w:rsidRPr="00403DF5">
        <w:rPr>
          <w:rFonts w:ascii="Arial" w:hAnsi="Arial" w:cs="Arial"/>
          <w:sz w:val="22"/>
          <w:szCs w:val="22"/>
          <w:lang w:val="en-ZA"/>
        </w:rPr>
        <w:t xml:space="preserve"> </w:t>
      </w:r>
      <w:r w:rsidR="0AEA4DC3" w:rsidRPr="00403DF5">
        <w:rPr>
          <w:rFonts w:ascii="Arial" w:hAnsi="Arial" w:cs="Arial"/>
          <w:sz w:val="22"/>
          <w:szCs w:val="22"/>
          <w:lang w:val="en-ZA"/>
        </w:rPr>
        <w:t>to transactions concluded a</w:t>
      </w:r>
      <w:r w:rsidR="14A622D4" w:rsidRPr="00403DF5">
        <w:rPr>
          <w:rFonts w:ascii="Arial" w:hAnsi="Arial" w:cs="Arial"/>
          <w:sz w:val="22"/>
          <w:szCs w:val="22"/>
          <w:lang w:val="en-ZA"/>
        </w:rPr>
        <w:t>t a</w:t>
      </w:r>
      <w:r w:rsidR="0AEA4DC3" w:rsidRPr="00403DF5">
        <w:rPr>
          <w:rFonts w:ascii="Arial" w:hAnsi="Arial" w:cs="Arial"/>
          <w:sz w:val="22"/>
          <w:szCs w:val="22"/>
          <w:lang w:val="en-ZA"/>
        </w:rPr>
        <w:t xml:space="preserve"> future date</w:t>
      </w:r>
      <w:r w:rsidR="044435BA" w:rsidRPr="00403DF5">
        <w:rPr>
          <w:rFonts w:ascii="Arial" w:hAnsi="Arial" w:cs="Arial"/>
          <w:sz w:val="22"/>
          <w:szCs w:val="22"/>
          <w:lang w:val="en-ZA"/>
        </w:rPr>
        <w:t>.</w:t>
      </w:r>
    </w:p>
    <w:p w14:paraId="77BD09FA" w14:textId="789D8038" w:rsidR="251BE3F0" w:rsidRPr="003F111D" w:rsidRDefault="251BE3F0" w:rsidP="251BE3F0">
      <w:pPr>
        <w:pStyle w:val="BodyText"/>
        <w:spacing w:line="271" w:lineRule="auto"/>
        <w:ind w:left="492" w:right="153"/>
        <w:jc w:val="both"/>
        <w:rPr>
          <w:lang w:val="en-ZA"/>
        </w:rPr>
      </w:pPr>
    </w:p>
    <w:bookmarkEnd w:id="60"/>
    <w:bookmarkEnd w:id="61"/>
    <w:p w14:paraId="1C92A291" w14:textId="3F4A36ED" w:rsidR="00095B2D" w:rsidRPr="003F111D" w:rsidRDefault="7A48F1C4" w:rsidP="003F111D">
      <w:pPr>
        <w:pStyle w:val="BodyText"/>
        <w:spacing w:line="271" w:lineRule="auto"/>
        <w:ind w:left="831" w:right="152"/>
        <w:jc w:val="both"/>
        <w:rPr>
          <w:rFonts w:ascii="Arial" w:hAnsi="Arial" w:cs="Arial"/>
          <w:i/>
          <w:sz w:val="22"/>
          <w:szCs w:val="22"/>
          <w:lang w:val="en-ZA"/>
        </w:rPr>
      </w:pPr>
      <w:r w:rsidRPr="003F111D">
        <w:rPr>
          <w:rFonts w:ascii="Arial" w:hAnsi="Arial" w:cs="Arial"/>
          <w:i/>
          <w:sz w:val="22"/>
          <w:szCs w:val="22"/>
          <w:lang w:val="en-ZA"/>
        </w:rPr>
        <w:t xml:space="preserve">Response: </w:t>
      </w:r>
      <w:r w:rsidR="136FF0B7" w:rsidRPr="00403DF5">
        <w:rPr>
          <w:sz w:val="22"/>
          <w:szCs w:val="22"/>
          <w:u w:val="single"/>
          <w:lang w:val="en-ZA"/>
        </w:rPr>
        <w:t>Accepted</w:t>
      </w:r>
      <w:r w:rsidR="136FF0B7" w:rsidRPr="00403DF5">
        <w:rPr>
          <w:sz w:val="22"/>
          <w:szCs w:val="22"/>
          <w:lang w:val="en-ZA"/>
        </w:rPr>
        <w:t xml:space="preserve">. </w:t>
      </w:r>
      <w:r w:rsidR="43E6159D" w:rsidRPr="00403DF5">
        <w:rPr>
          <w:sz w:val="22"/>
          <w:szCs w:val="22"/>
          <w:lang w:val="en-ZA"/>
        </w:rPr>
        <w:t>The effective date f</w:t>
      </w:r>
      <w:r w:rsidR="777D65A1" w:rsidRPr="00403DF5">
        <w:rPr>
          <w:sz w:val="22"/>
          <w:szCs w:val="22"/>
          <w:lang w:val="en-ZA"/>
        </w:rPr>
        <w:t xml:space="preserve">or the </w:t>
      </w:r>
      <w:r w:rsidR="43E6159D" w:rsidRPr="00403DF5">
        <w:rPr>
          <w:sz w:val="22"/>
          <w:szCs w:val="22"/>
          <w:lang w:val="en-ZA"/>
        </w:rPr>
        <w:t>proposed amendment to the formula in section 23N will be postpon</w:t>
      </w:r>
      <w:r w:rsidR="1DEB8537" w:rsidRPr="00403DF5">
        <w:rPr>
          <w:sz w:val="22"/>
          <w:szCs w:val="22"/>
          <w:lang w:val="en-ZA"/>
        </w:rPr>
        <w:t>ed to 1 January 2027.</w:t>
      </w:r>
    </w:p>
    <w:p w14:paraId="29A9BCB3" w14:textId="7039A306" w:rsidR="251BE3F0" w:rsidRPr="003F111D" w:rsidRDefault="251BE3F0" w:rsidP="251BE3F0">
      <w:pPr>
        <w:pStyle w:val="BodyText"/>
        <w:spacing w:line="271" w:lineRule="auto"/>
        <w:ind w:left="831" w:right="152"/>
        <w:jc w:val="both"/>
        <w:rPr>
          <w:rFonts w:ascii="Arial"/>
          <w:lang w:val="en-ZA"/>
        </w:rPr>
      </w:pPr>
    </w:p>
    <w:p w14:paraId="0D171BC4" w14:textId="386C8B7B" w:rsidR="001348F8" w:rsidRPr="003F111D" w:rsidRDefault="0D3430D8" w:rsidP="251BE3F0">
      <w:pPr>
        <w:pStyle w:val="BodyText"/>
        <w:spacing w:line="271" w:lineRule="auto"/>
        <w:ind w:left="492" w:right="153"/>
        <w:jc w:val="both"/>
        <w:rPr>
          <w:rFonts w:ascii="Arial" w:hAnsi="Arial" w:cs="Arial"/>
          <w:i/>
          <w:sz w:val="22"/>
          <w:szCs w:val="22"/>
          <w:lang w:val="en-ZA"/>
        </w:rPr>
      </w:pPr>
      <w:r w:rsidRPr="003F111D">
        <w:rPr>
          <w:rFonts w:ascii="Arial" w:hAnsi="Arial" w:cs="Arial"/>
          <w:i/>
          <w:sz w:val="22"/>
          <w:szCs w:val="22"/>
          <w:lang w:val="en-ZA"/>
        </w:rPr>
        <w:t xml:space="preserve">Comment: </w:t>
      </w:r>
      <w:r w:rsidR="05659B9C" w:rsidRPr="00403DF5">
        <w:rPr>
          <w:sz w:val="22"/>
          <w:szCs w:val="22"/>
          <w:lang w:val="en-ZA"/>
        </w:rPr>
        <w:t xml:space="preserve">Replace the word more with </w:t>
      </w:r>
      <w:r w:rsidR="242C1586" w:rsidRPr="00403DF5">
        <w:rPr>
          <w:sz w:val="22"/>
          <w:szCs w:val="22"/>
          <w:lang w:val="en-ZA"/>
        </w:rPr>
        <w:t>l</w:t>
      </w:r>
      <w:r w:rsidR="05659B9C" w:rsidRPr="00403DF5">
        <w:rPr>
          <w:sz w:val="22"/>
          <w:szCs w:val="22"/>
          <w:lang w:val="en-ZA"/>
        </w:rPr>
        <w:t>ess</w:t>
      </w:r>
      <w:r w:rsidR="4A82C3C6" w:rsidRPr="00403DF5">
        <w:rPr>
          <w:sz w:val="22"/>
          <w:szCs w:val="22"/>
          <w:lang w:val="en-ZA"/>
        </w:rPr>
        <w:t xml:space="preserve"> </w:t>
      </w:r>
      <w:r w:rsidR="23EC3536" w:rsidRPr="00403DF5">
        <w:rPr>
          <w:sz w:val="22"/>
          <w:szCs w:val="22"/>
          <w:lang w:val="en-ZA"/>
        </w:rPr>
        <w:t>in t</w:t>
      </w:r>
      <w:r w:rsidRPr="00403DF5">
        <w:rPr>
          <w:sz w:val="22"/>
          <w:szCs w:val="22"/>
          <w:lang w:val="en-ZA"/>
        </w:rPr>
        <w:t>he</w:t>
      </w:r>
      <w:r w:rsidR="6C922482" w:rsidRPr="00403DF5">
        <w:rPr>
          <w:sz w:val="22"/>
          <w:szCs w:val="22"/>
          <w:lang w:val="en-ZA"/>
        </w:rPr>
        <w:t xml:space="preserve"> current </w:t>
      </w:r>
      <w:r w:rsidR="2BFF796E" w:rsidRPr="00403DF5">
        <w:rPr>
          <w:sz w:val="22"/>
          <w:szCs w:val="22"/>
          <w:lang w:val="en-ZA"/>
        </w:rPr>
        <w:t>proposed</w:t>
      </w:r>
      <w:r w:rsidR="6C922482" w:rsidRPr="00403DF5">
        <w:rPr>
          <w:sz w:val="22"/>
          <w:szCs w:val="22"/>
          <w:lang w:val="en-ZA"/>
        </w:rPr>
        <w:t xml:space="preserve"> amended wording to the definition of "adjusted taxable income"</w:t>
      </w:r>
      <w:r w:rsidR="004E5BD4" w:rsidRPr="00403DF5">
        <w:rPr>
          <w:sz w:val="22"/>
          <w:szCs w:val="22"/>
          <w:lang w:val="en-ZA"/>
        </w:rPr>
        <w:t>.</w:t>
      </w:r>
      <w:r w:rsidRPr="003F111D">
        <w:rPr>
          <w:rFonts w:ascii="Arial" w:hAnsi="Arial" w:cs="Arial"/>
          <w:i/>
          <w:sz w:val="22"/>
          <w:szCs w:val="22"/>
          <w:lang w:val="en-ZA"/>
        </w:rPr>
        <w:t xml:space="preserve"> </w:t>
      </w:r>
    </w:p>
    <w:p w14:paraId="4A90F2FD" w14:textId="77777777" w:rsidR="001348F8" w:rsidRPr="003F111D" w:rsidRDefault="001348F8" w:rsidP="251BE3F0">
      <w:pPr>
        <w:pStyle w:val="BodyText"/>
        <w:spacing w:line="271" w:lineRule="auto"/>
        <w:ind w:left="492" w:right="153"/>
        <w:jc w:val="both"/>
        <w:rPr>
          <w:rFonts w:ascii="Arial"/>
          <w:spacing w:val="-7"/>
          <w:lang w:val="en-ZA"/>
        </w:rPr>
      </w:pPr>
    </w:p>
    <w:p w14:paraId="0F2B0DF2" w14:textId="0018B04E" w:rsidR="001348F8" w:rsidRPr="00403DF5" w:rsidRDefault="0D3430D8" w:rsidP="003F111D">
      <w:pPr>
        <w:pStyle w:val="BodyText"/>
        <w:spacing w:line="271" w:lineRule="auto"/>
        <w:ind w:left="831" w:right="152"/>
        <w:jc w:val="both"/>
        <w:rPr>
          <w:sz w:val="22"/>
          <w:szCs w:val="22"/>
          <w:lang w:val="en-ZA"/>
        </w:rPr>
      </w:pPr>
      <w:bookmarkStart w:id="62" w:name="_Hlk180346139"/>
      <w:r w:rsidRPr="003F111D">
        <w:rPr>
          <w:rFonts w:ascii="Arial" w:hAnsi="Arial" w:cs="Arial"/>
          <w:i/>
          <w:sz w:val="22"/>
          <w:szCs w:val="22"/>
          <w:lang w:val="en-ZA"/>
        </w:rPr>
        <w:t xml:space="preserve">Response: </w:t>
      </w:r>
      <w:bookmarkStart w:id="63" w:name="_Hlk147824340"/>
      <w:r w:rsidRPr="00403DF5">
        <w:rPr>
          <w:sz w:val="22"/>
          <w:szCs w:val="22"/>
          <w:u w:val="single"/>
          <w:lang w:val="en-ZA"/>
        </w:rPr>
        <w:t>Accepted</w:t>
      </w:r>
      <w:r w:rsidRPr="00403DF5">
        <w:rPr>
          <w:sz w:val="22"/>
          <w:szCs w:val="22"/>
          <w:lang w:val="en-ZA"/>
        </w:rPr>
        <w:t xml:space="preserve">. </w:t>
      </w:r>
      <w:bookmarkEnd w:id="63"/>
      <w:r w:rsidR="386FA4EC" w:rsidRPr="00403DF5">
        <w:rPr>
          <w:sz w:val="22"/>
          <w:szCs w:val="22"/>
          <w:lang w:val="en-ZA"/>
        </w:rPr>
        <w:t xml:space="preserve">Amendments will be made to draft legislation to correct the wording.    </w:t>
      </w:r>
    </w:p>
    <w:bookmarkEnd w:id="62"/>
    <w:p w14:paraId="248123B4" w14:textId="77777777" w:rsidR="001348F8" w:rsidRPr="004C639D" w:rsidRDefault="001348F8" w:rsidP="00403DF5">
      <w:pPr>
        <w:pStyle w:val="BodyText"/>
        <w:spacing w:before="1" w:line="271" w:lineRule="auto"/>
        <w:ind w:right="152"/>
        <w:jc w:val="both"/>
        <w:rPr>
          <w:lang w:val="en-ZA"/>
        </w:rPr>
      </w:pPr>
    </w:p>
    <w:p w14:paraId="09438091" w14:textId="6E2E9BA6" w:rsidR="001348F8" w:rsidRPr="003F111D" w:rsidRDefault="0D3430D8" w:rsidP="251BE3F0">
      <w:pPr>
        <w:pStyle w:val="BodyText"/>
        <w:spacing w:line="271" w:lineRule="auto"/>
        <w:ind w:left="492" w:right="153"/>
        <w:jc w:val="both"/>
        <w:rPr>
          <w:rFonts w:ascii="Arial" w:hAnsi="Arial" w:cs="Arial"/>
          <w:i/>
          <w:sz w:val="22"/>
          <w:szCs w:val="22"/>
          <w:lang w:val="en-ZA"/>
        </w:rPr>
      </w:pPr>
      <w:r w:rsidRPr="0037423B">
        <w:rPr>
          <w:rFonts w:ascii="Arial" w:hAnsi="Arial" w:cs="Arial"/>
          <w:i/>
          <w:sz w:val="22"/>
          <w:szCs w:val="22"/>
          <w:lang w:val="en-ZA"/>
        </w:rPr>
        <w:t xml:space="preserve">Comment: </w:t>
      </w:r>
      <w:r w:rsidR="540F12C6" w:rsidRPr="00403DF5">
        <w:rPr>
          <w:rFonts w:ascii="Arial" w:hAnsi="Arial" w:cs="Arial"/>
          <w:sz w:val="22"/>
          <w:szCs w:val="22"/>
          <w:lang w:val="en-ZA"/>
        </w:rPr>
        <w:t xml:space="preserve">The definition of adjusted taxable income in section 23M includes </w:t>
      </w:r>
      <w:r w:rsidR="5AF45497" w:rsidRPr="00403DF5">
        <w:rPr>
          <w:rFonts w:ascii="Arial" w:hAnsi="Arial" w:cs="Arial"/>
          <w:sz w:val="22"/>
          <w:szCs w:val="22"/>
          <w:lang w:val="en-ZA"/>
        </w:rPr>
        <w:t>provisions that cater for REITS.</w:t>
      </w:r>
      <w:r w:rsidR="540F12C6" w:rsidRPr="00403DF5">
        <w:rPr>
          <w:rFonts w:ascii="Arial" w:hAnsi="Arial" w:cs="Arial"/>
          <w:sz w:val="22"/>
          <w:szCs w:val="22"/>
          <w:lang w:val="en-ZA"/>
        </w:rPr>
        <w:t xml:space="preserve"> However, </w:t>
      </w:r>
      <w:r w:rsidR="3865357C" w:rsidRPr="00403DF5">
        <w:rPr>
          <w:rFonts w:ascii="Arial" w:hAnsi="Arial" w:cs="Arial"/>
          <w:sz w:val="22"/>
          <w:szCs w:val="22"/>
          <w:lang w:val="en-ZA"/>
        </w:rPr>
        <w:t xml:space="preserve">these provisions have not been included in </w:t>
      </w:r>
      <w:r w:rsidR="540F12C6" w:rsidRPr="00403DF5">
        <w:rPr>
          <w:rFonts w:ascii="Arial" w:hAnsi="Arial" w:cs="Arial"/>
          <w:sz w:val="22"/>
          <w:szCs w:val="22"/>
          <w:lang w:val="en-ZA"/>
        </w:rPr>
        <w:t>the definition</w:t>
      </w:r>
      <w:r w:rsidR="16A69D10" w:rsidRPr="00403DF5">
        <w:rPr>
          <w:rFonts w:ascii="Arial" w:hAnsi="Arial" w:cs="Arial"/>
          <w:sz w:val="22"/>
          <w:szCs w:val="22"/>
          <w:lang w:val="en-ZA"/>
        </w:rPr>
        <w:t xml:space="preserve"> of adjusted taxable income</w:t>
      </w:r>
      <w:r w:rsidR="540F12C6" w:rsidRPr="00403DF5">
        <w:rPr>
          <w:rFonts w:ascii="Arial" w:hAnsi="Arial" w:cs="Arial"/>
          <w:sz w:val="22"/>
          <w:szCs w:val="22"/>
          <w:lang w:val="en-ZA"/>
        </w:rPr>
        <w:t xml:space="preserve"> in s</w:t>
      </w:r>
      <w:r w:rsidR="54C2ABB2" w:rsidRPr="00403DF5">
        <w:rPr>
          <w:rFonts w:ascii="Arial" w:hAnsi="Arial" w:cs="Arial"/>
          <w:sz w:val="22"/>
          <w:szCs w:val="22"/>
          <w:lang w:val="en-ZA"/>
        </w:rPr>
        <w:t xml:space="preserve">ection </w:t>
      </w:r>
      <w:r w:rsidR="540F12C6" w:rsidRPr="00403DF5">
        <w:rPr>
          <w:rFonts w:ascii="Arial" w:hAnsi="Arial" w:cs="Arial"/>
          <w:sz w:val="22"/>
          <w:szCs w:val="22"/>
          <w:lang w:val="en-ZA"/>
        </w:rPr>
        <w:t>23N.</w:t>
      </w:r>
      <w:r w:rsidR="45FF715A" w:rsidRPr="00403DF5">
        <w:rPr>
          <w:rFonts w:ascii="Arial" w:hAnsi="Arial" w:cs="Arial"/>
          <w:sz w:val="22"/>
          <w:szCs w:val="22"/>
          <w:lang w:val="en-ZA"/>
        </w:rPr>
        <w:t xml:space="preserve"> </w:t>
      </w:r>
      <w:r w:rsidR="540F12C6" w:rsidRPr="00403DF5">
        <w:rPr>
          <w:rFonts w:ascii="Arial" w:hAnsi="Arial" w:cs="Arial"/>
          <w:sz w:val="22"/>
          <w:szCs w:val="22"/>
          <w:lang w:val="en-ZA"/>
        </w:rPr>
        <w:t>Given th</w:t>
      </w:r>
      <w:r w:rsidR="5A3B8E49" w:rsidRPr="00403DF5">
        <w:rPr>
          <w:rFonts w:ascii="Arial" w:hAnsi="Arial" w:cs="Arial"/>
          <w:sz w:val="22"/>
          <w:szCs w:val="22"/>
          <w:lang w:val="en-ZA"/>
        </w:rPr>
        <w:t xml:space="preserve">at the </w:t>
      </w:r>
      <w:r w:rsidR="540F12C6" w:rsidRPr="00403DF5">
        <w:rPr>
          <w:rFonts w:ascii="Arial" w:hAnsi="Arial" w:cs="Arial"/>
          <w:sz w:val="22"/>
          <w:szCs w:val="22"/>
          <w:lang w:val="en-ZA"/>
        </w:rPr>
        <w:t>intent</w:t>
      </w:r>
      <w:r w:rsidR="5249C12C" w:rsidRPr="00403DF5">
        <w:rPr>
          <w:rFonts w:ascii="Arial" w:hAnsi="Arial" w:cs="Arial"/>
          <w:sz w:val="22"/>
          <w:szCs w:val="22"/>
          <w:lang w:val="en-ZA"/>
        </w:rPr>
        <w:t xml:space="preserve">ion of the proposed amendments is for </w:t>
      </w:r>
      <w:r w:rsidR="540F12C6" w:rsidRPr="00403DF5">
        <w:rPr>
          <w:rFonts w:ascii="Arial" w:hAnsi="Arial" w:cs="Arial"/>
          <w:sz w:val="22"/>
          <w:szCs w:val="22"/>
          <w:lang w:val="en-ZA"/>
        </w:rPr>
        <w:t xml:space="preserve">the two definitions </w:t>
      </w:r>
      <w:r w:rsidR="03B13EBB" w:rsidRPr="00403DF5">
        <w:rPr>
          <w:rFonts w:ascii="Arial" w:hAnsi="Arial" w:cs="Arial"/>
          <w:sz w:val="22"/>
          <w:szCs w:val="22"/>
          <w:lang w:val="en-ZA"/>
        </w:rPr>
        <w:t>to mirror</w:t>
      </w:r>
      <w:r w:rsidR="540F12C6" w:rsidRPr="00403DF5">
        <w:rPr>
          <w:rFonts w:ascii="Arial" w:hAnsi="Arial" w:cs="Arial"/>
          <w:sz w:val="22"/>
          <w:szCs w:val="22"/>
          <w:lang w:val="en-ZA"/>
        </w:rPr>
        <w:t xml:space="preserve"> each other, it is questioned why this adjustment </w:t>
      </w:r>
      <w:r w:rsidR="0DCA3276" w:rsidRPr="00403DF5">
        <w:rPr>
          <w:rFonts w:ascii="Arial" w:hAnsi="Arial" w:cs="Arial"/>
          <w:sz w:val="22"/>
          <w:szCs w:val="22"/>
          <w:lang w:val="en-ZA"/>
        </w:rPr>
        <w:t>was</w:t>
      </w:r>
      <w:r w:rsidR="540F12C6" w:rsidRPr="00403DF5">
        <w:rPr>
          <w:rFonts w:ascii="Arial" w:hAnsi="Arial" w:cs="Arial"/>
          <w:sz w:val="22"/>
          <w:szCs w:val="22"/>
          <w:lang w:val="en-ZA"/>
        </w:rPr>
        <w:t xml:space="preserve"> not included</w:t>
      </w:r>
      <w:r w:rsidR="540F12C6" w:rsidRPr="003F111D">
        <w:rPr>
          <w:rFonts w:ascii="Arial" w:hAnsi="Arial" w:cs="Arial"/>
          <w:i/>
          <w:sz w:val="22"/>
          <w:szCs w:val="22"/>
          <w:lang w:val="en-ZA"/>
        </w:rPr>
        <w:t xml:space="preserve">. </w:t>
      </w:r>
    </w:p>
    <w:p w14:paraId="7DA7FBC9" w14:textId="77777777" w:rsidR="001348F8" w:rsidRPr="004C639D" w:rsidRDefault="001348F8" w:rsidP="0D47019B">
      <w:pPr>
        <w:pStyle w:val="BodyText"/>
        <w:spacing w:before="2"/>
        <w:rPr>
          <w:sz w:val="24"/>
          <w:szCs w:val="24"/>
          <w:lang w:val="en-ZA"/>
        </w:rPr>
      </w:pPr>
    </w:p>
    <w:p w14:paraId="3073484E" w14:textId="6520AFF8" w:rsidR="001348F8" w:rsidRPr="003F111D" w:rsidRDefault="0D3430D8" w:rsidP="251BE3F0">
      <w:pPr>
        <w:pStyle w:val="BodyText"/>
        <w:spacing w:line="271" w:lineRule="auto"/>
        <w:ind w:left="831" w:right="152"/>
        <w:jc w:val="both"/>
        <w:rPr>
          <w:rFonts w:ascii="Arial" w:hAnsi="Arial" w:cs="Arial"/>
          <w:i/>
          <w:sz w:val="22"/>
          <w:szCs w:val="22"/>
          <w:lang w:val="en-ZA"/>
        </w:rPr>
      </w:pPr>
      <w:r w:rsidRPr="005708D0">
        <w:rPr>
          <w:rFonts w:ascii="Arial" w:hAnsi="Arial" w:cs="Arial"/>
          <w:i/>
          <w:sz w:val="22"/>
          <w:szCs w:val="22"/>
          <w:lang w:val="en-ZA"/>
        </w:rPr>
        <w:t xml:space="preserve">Response: </w:t>
      </w:r>
      <w:r w:rsidR="448C8154" w:rsidRPr="00403DF5">
        <w:rPr>
          <w:rFonts w:ascii="Arial" w:hAnsi="Arial" w:cs="Arial"/>
          <w:sz w:val="22"/>
          <w:szCs w:val="22"/>
          <w:u w:val="single"/>
          <w:lang w:val="en-ZA"/>
        </w:rPr>
        <w:t>Noted</w:t>
      </w:r>
      <w:r w:rsidRPr="00403DF5">
        <w:rPr>
          <w:rFonts w:ascii="Arial" w:hAnsi="Arial" w:cs="Arial"/>
          <w:sz w:val="22"/>
          <w:szCs w:val="22"/>
          <w:lang w:val="en-ZA"/>
        </w:rPr>
        <w:t xml:space="preserve">. </w:t>
      </w:r>
      <w:r w:rsidR="774A8034" w:rsidRPr="00403DF5">
        <w:rPr>
          <w:rFonts w:ascii="Arial" w:hAnsi="Arial" w:cs="Arial"/>
          <w:sz w:val="22"/>
          <w:szCs w:val="22"/>
          <w:lang w:val="en-ZA"/>
        </w:rPr>
        <w:t>Government notes the omission and will consider</w:t>
      </w:r>
      <w:r w:rsidR="320F4264" w:rsidRPr="00403DF5">
        <w:rPr>
          <w:rFonts w:ascii="Arial" w:hAnsi="Arial" w:cs="Arial"/>
          <w:sz w:val="22"/>
          <w:szCs w:val="22"/>
          <w:lang w:val="en-ZA"/>
        </w:rPr>
        <w:t xml:space="preserve"> </w:t>
      </w:r>
      <w:r w:rsidR="447811AA" w:rsidRPr="00403DF5">
        <w:rPr>
          <w:rFonts w:ascii="Arial" w:hAnsi="Arial" w:cs="Arial"/>
          <w:sz w:val="22"/>
          <w:szCs w:val="22"/>
          <w:lang w:val="en-ZA"/>
        </w:rPr>
        <w:t>including</w:t>
      </w:r>
      <w:r w:rsidR="774A8034" w:rsidRPr="00403DF5">
        <w:rPr>
          <w:rFonts w:ascii="Arial" w:hAnsi="Arial" w:cs="Arial"/>
          <w:sz w:val="22"/>
          <w:szCs w:val="22"/>
          <w:lang w:val="en-ZA"/>
        </w:rPr>
        <w:t xml:space="preserve"> these pr</w:t>
      </w:r>
      <w:r w:rsidR="00FA0FC9" w:rsidRPr="00403DF5">
        <w:rPr>
          <w:rFonts w:ascii="Arial" w:hAnsi="Arial" w:cs="Arial"/>
          <w:sz w:val="22"/>
          <w:szCs w:val="22"/>
          <w:lang w:val="en-ZA"/>
        </w:rPr>
        <w:t>ovisions</w:t>
      </w:r>
      <w:r w:rsidR="1F30A679" w:rsidRPr="00403DF5">
        <w:rPr>
          <w:rFonts w:ascii="Arial" w:hAnsi="Arial" w:cs="Arial"/>
          <w:sz w:val="22"/>
          <w:szCs w:val="22"/>
          <w:lang w:val="en-ZA"/>
        </w:rPr>
        <w:t xml:space="preserve"> to ensure</w:t>
      </w:r>
      <w:r w:rsidR="67031201" w:rsidRPr="00403DF5">
        <w:rPr>
          <w:rFonts w:ascii="Arial" w:hAnsi="Arial" w:cs="Arial"/>
          <w:sz w:val="22"/>
          <w:szCs w:val="22"/>
          <w:lang w:val="en-ZA"/>
        </w:rPr>
        <w:t xml:space="preserve"> that the </w:t>
      </w:r>
      <w:r w:rsidR="7EA3A0CA" w:rsidRPr="00403DF5">
        <w:rPr>
          <w:rFonts w:ascii="Arial" w:hAnsi="Arial" w:cs="Arial"/>
          <w:sz w:val="22"/>
          <w:szCs w:val="22"/>
          <w:lang w:val="en-ZA"/>
        </w:rPr>
        <w:t>definition of adjusted taxable income in section 23N mirrors the current definition of adjusted taxable income in section 23M</w:t>
      </w:r>
      <w:r w:rsidR="7EA3A0CA" w:rsidRPr="003F111D">
        <w:rPr>
          <w:rFonts w:ascii="Arial" w:hAnsi="Arial" w:cs="Arial"/>
          <w:i/>
          <w:sz w:val="22"/>
          <w:szCs w:val="22"/>
          <w:lang w:val="en-ZA"/>
        </w:rPr>
        <w:t>.</w:t>
      </w:r>
    </w:p>
    <w:p w14:paraId="5435172D" w14:textId="77777777" w:rsidR="005B0C13" w:rsidRPr="004C639D" w:rsidRDefault="005B0C13" w:rsidP="00195633">
      <w:pPr>
        <w:pStyle w:val="BodyText"/>
        <w:spacing w:before="158"/>
        <w:ind w:left="555"/>
        <w:jc w:val="both"/>
        <w:rPr>
          <w:lang w:val="en-ZA"/>
        </w:rPr>
      </w:pPr>
    </w:p>
    <w:p w14:paraId="54D70D55" w14:textId="3A0C470E" w:rsidR="005B0C13" w:rsidRPr="003F111D" w:rsidRDefault="5B7E5583" w:rsidP="003F111D">
      <w:pPr>
        <w:pStyle w:val="Heading3"/>
        <w:numPr>
          <w:ilvl w:val="1"/>
          <w:numId w:val="37"/>
        </w:numPr>
        <w:tabs>
          <w:tab w:val="left" w:pos="961"/>
        </w:tabs>
        <w:spacing w:before="0" w:line="259" w:lineRule="auto"/>
        <w:rPr>
          <w:sz w:val="22"/>
          <w:szCs w:val="22"/>
          <w:lang w:val="en-ZA"/>
        </w:rPr>
      </w:pPr>
      <w:bookmarkStart w:id="64" w:name="_Toc189212111"/>
      <w:r w:rsidRPr="003F111D">
        <w:rPr>
          <w:sz w:val="22"/>
          <w:szCs w:val="22"/>
          <w:lang w:val="en-ZA"/>
        </w:rPr>
        <w:t>Relaxing the assessed loss restriction rule under certain circumstances</w:t>
      </w:r>
      <w:bookmarkEnd w:id="64"/>
      <w:r w:rsidRPr="003F111D">
        <w:rPr>
          <w:sz w:val="22"/>
          <w:szCs w:val="22"/>
          <w:lang w:val="en-ZA"/>
        </w:rPr>
        <w:t xml:space="preserve">  </w:t>
      </w:r>
    </w:p>
    <w:p w14:paraId="0CDD5AA7" w14:textId="3330BE83" w:rsidR="005B0C13" w:rsidRDefault="7A48F1C4" w:rsidP="00195633">
      <w:pPr>
        <w:pStyle w:val="BodyText"/>
        <w:spacing w:before="158"/>
        <w:ind w:left="555"/>
        <w:jc w:val="both"/>
        <w:rPr>
          <w:rFonts w:ascii="Arial" w:hAnsi="Arial" w:cs="Arial"/>
          <w:sz w:val="22"/>
          <w:szCs w:val="22"/>
          <w:lang w:val="en-ZA"/>
        </w:rPr>
      </w:pPr>
      <w:bookmarkStart w:id="65" w:name="_Hlk147213765"/>
      <w:r w:rsidRPr="00403DF5">
        <w:rPr>
          <w:rFonts w:ascii="Arial" w:hAnsi="Arial" w:cs="Arial"/>
          <w:sz w:val="22"/>
          <w:szCs w:val="22"/>
          <w:lang w:val="en-ZA"/>
        </w:rPr>
        <w:t xml:space="preserve">(Main reference: </w:t>
      </w:r>
      <w:r w:rsidR="75DD8F57" w:rsidRPr="00FB78D1">
        <w:rPr>
          <w:rFonts w:ascii="Arial" w:eastAsia="Arial" w:hAnsi="Arial" w:cs="Arial"/>
          <w:color w:val="000000" w:themeColor="text1"/>
          <w:sz w:val="22"/>
          <w:szCs w:val="22"/>
          <w:lang w:val="en-ZA"/>
        </w:rPr>
        <w:t>Sections 20 and 41 of the Act</w:t>
      </w:r>
      <w:r w:rsidR="006A5909" w:rsidRPr="00403DF5">
        <w:rPr>
          <w:rFonts w:ascii="Arial" w:hAnsi="Arial" w:cs="Arial"/>
          <w:sz w:val="22"/>
          <w:szCs w:val="22"/>
          <w:lang w:val="en-ZA"/>
        </w:rPr>
        <w:t xml:space="preserve">: </w:t>
      </w:r>
      <w:r w:rsidR="006A5909" w:rsidRPr="00FB78D1">
        <w:rPr>
          <w:rFonts w:ascii="Arial" w:eastAsia="Arial" w:hAnsi="Arial" w:cs="Arial"/>
          <w:color w:val="000000" w:themeColor="text1"/>
          <w:sz w:val="22"/>
          <w:szCs w:val="22"/>
          <w:lang w:val="en-ZA"/>
        </w:rPr>
        <w:t>Clauses 16 and 27 of the Draft TLAB</w:t>
      </w:r>
      <w:r w:rsidRPr="00403DF5">
        <w:rPr>
          <w:rFonts w:ascii="Arial" w:hAnsi="Arial" w:cs="Arial"/>
          <w:sz w:val="22"/>
          <w:szCs w:val="22"/>
          <w:lang w:val="en-ZA"/>
        </w:rPr>
        <w:t>)</w:t>
      </w:r>
    </w:p>
    <w:p w14:paraId="7277570D" w14:textId="77777777" w:rsidR="00F81C75" w:rsidRPr="00403DF5" w:rsidRDefault="00F81C75" w:rsidP="00195633">
      <w:pPr>
        <w:pStyle w:val="BodyText"/>
        <w:spacing w:before="158"/>
        <w:ind w:left="555"/>
        <w:jc w:val="both"/>
        <w:rPr>
          <w:rFonts w:ascii="Arial" w:hAnsi="Arial" w:cs="Arial"/>
          <w:sz w:val="22"/>
          <w:szCs w:val="22"/>
          <w:lang w:val="en-ZA"/>
        </w:rPr>
      </w:pPr>
    </w:p>
    <w:bookmarkEnd w:id="65"/>
    <w:p w14:paraId="4E50D42E" w14:textId="77777777" w:rsidR="00F81C75" w:rsidRDefault="5B17FCC3" w:rsidP="00F81C75">
      <w:pPr>
        <w:pStyle w:val="BodyText"/>
        <w:spacing w:line="271" w:lineRule="auto"/>
        <w:ind w:left="831" w:right="152"/>
        <w:jc w:val="both"/>
        <w:rPr>
          <w:rFonts w:ascii="Arial" w:hAnsi="Arial" w:cs="Arial"/>
          <w:iCs/>
          <w:sz w:val="22"/>
          <w:szCs w:val="22"/>
          <w:lang w:val="en-ZA"/>
        </w:rPr>
      </w:pPr>
      <w:r w:rsidRPr="00403DF5">
        <w:rPr>
          <w:rFonts w:ascii="Arial" w:hAnsi="Arial" w:cs="Arial"/>
          <w:iCs/>
          <w:sz w:val="22"/>
          <w:szCs w:val="22"/>
          <w:lang w:val="en-ZA"/>
        </w:rPr>
        <w:t xml:space="preserve">In general, section 20 of the Act previously allowed most taxpayers carrying on a trade to set-off assessed losses brought forward from prior years of assessments against taxable income in the current year of assessment, with any unutilised portion of the assessed loss available for carry forward to subsequent years of assessment. However, an assessed loss restriction rule was introduced into the Act for companies with years of assessment commencing on or after 1 April 2022. This proposal broadened the corporate tax base by restricting the offset of assessed losses carried forward to 80 per cent of taxable income. </w:t>
      </w:r>
    </w:p>
    <w:p w14:paraId="07DEB446" w14:textId="08480768" w:rsidR="00241880" w:rsidRPr="00403DF5" w:rsidRDefault="5B17FCC3" w:rsidP="00403DF5">
      <w:pPr>
        <w:pStyle w:val="BodyText"/>
        <w:spacing w:line="271" w:lineRule="auto"/>
        <w:ind w:left="831" w:right="152"/>
        <w:jc w:val="both"/>
        <w:rPr>
          <w:rFonts w:ascii="Arial" w:hAnsi="Arial" w:cs="Arial"/>
          <w:iCs/>
          <w:sz w:val="22"/>
          <w:szCs w:val="22"/>
          <w:lang w:val="en-ZA"/>
        </w:rPr>
      </w:pPr>
      <w:r w:rsidRPr="00403DF5">
        <w:rPr>
          <w:rFonts w:ascii="Arial" w:hAnsi="Arial" w:cs="Arial"/>
          <w:iCs/>
          <w:sz w:val="22"/>
          <w:szCs w:val="22"/>
          <w:lang w:val="en-ZA"/>
        </w:rPr>
        <w:t xml:space="preserve"> </w:t>
      </w:r>
    </w:p>
    <w:p w14:paraId="09D0E967" w14:textId="033C8E65" w:rsidR="00241880" w:rsidRPr="00403DF5" w:rsidRDefault="5B17FCC3" w:rsidP="00403DF5">
      <w:pPr>
        <w:pStyle w:val="BodyText"/>
        <w:spacing w:line="271" w:lineRule="auto"/>
        <w:ind w:left="831" w:right="152"/>
        <w:jc w:val="both"/>
        <w:rPr>
          <w:rFonts w:ascii="Arial" w:hAnsi="Arial" w:cs="Arial"/>
          <w:iCs/>
          <w:sz w:val="22"/>
          <w:szCs w:val="22"/>
          <w:lang w:val="en-ZA"/>
        </w:rPr>
      </w:pPr>
      <w:r w:rsidRPr="00403DF5">
        <w:rPr>
          <w:rFonts w:ascii="Arial" w:hAnsi="Arial" w:cs="Arial"/>
          <w:iCs/>
          <w:sz w:val="22"/>
          <w:szCs w:val="22"/>
          <w:lang w:val="en-ZA"/>
        </w:rPr>
        <w:t xml:space="preserve">As </w:t>
      </w:r>
      <w:r w:rsidR="378F831A" w:rsidRPr="00403DF5">
        <w:rPr>
          <w:rFonts w:ascii="Arial" w:hAnsi="Arial" w:cs="Arial"/>
          <w:iCs/>
          <w:sz w:val="22"/>
          <w:szCs w:val="22"/>
          <w:lang w:val="en-ZA"/>
        </w:rPr>
        <w:t>a result</w:t>
      </w:r>
      <w:r w:rsidRPr="00403DF5">
        <w:rPr>
          <w:rFonts w:ascii="Arial" w:hAnsi="Arial" w:cs="Arial"/>
          <w:iCs/>
          <w:sz w:val="22"/>
          <w:szCs w:val="22"/>
          <w:lang w:val="en-ZA"/>
        </w:rPr>
        <w:t>, a taxpayer that continuously carries on a trade can set off its balance of assessed loss against income, subject to the assessed loss limitation provisions. However, where companies are being liquidated, deregistered or wound-up during a year of assessment, taxable income is often calculated in that year. Therefore, there may be instances where the assessed loss limitation will result in the balance of assessed loss not being fully utilised and partially forfeited by the company that is being liquidated, deregistered or wound-up.</w:t>
      </w:r>
      <w:r w:rsidR="0C5F2D10" w:rsidRPr="00403DF5">
        <w:rPr>
          <w:rFonts w:ascii="Arial" w:hAnsi="Arial" w:cs="Arial"/>
          <w:iCs/>
          <w:sz w:val="22"/>
          <w:szCs w:val="22"/>
          <w:lang w:val="en-ZA"/>
        </w:rPr>
        <w:t xml:space="preserve"> </w:t>
      </w:r>
      <w:r w:rsidR="352AE48B" w:rsidRPr="00403DF5">
        <w:rPr>
          <w:rFonts w:ascii="Arial" w:hAnsi="Arial" w:cs="Arial"/>
          <w:iCs/>
          <w:sz w:val="22"/>
          <w:szCs w:val="22"/>
          <w:lang w:val="en-ZA"/>
        </w:rPr>
        <w:t xml:space="preserve">Government proposes </w:t>
      </w:r>
      <w:r w:rsidR="2B423ECE" w:rsidRPr="00403DF5">
        <w:rPr>
          <w:rFonts w:ascii="Arial" w:hAnsi="Arial" w:cs="Arial"/>
          <w:iCs/>
          <w:sz w:val="22"/>
          <w:szCs w:val="22"/>
          <w:lang w:val="en-ZA"/>
        </w:rPr>
        <w:t>that</w:t>
      </w:r>
      <w:r w:rsidRPr="00403DF5">
        <w:rPr>
          <w:rFonts w:ascii="Arial" w:hAnsi="Arial" w:cs="Arial"/>
          <w:iCs/>
          <w:sz w:val="22"/>
          <w:szCs w:val="22"/>
          <w:lang w:val="en-ZA"/>
        </w:rPr>
        <w:t xml:space="preserve"> </w:t>
      </w:r>
      <w:r w:rsidR="2B423ECE" w:rsidRPr="00403DF5">
        <w:rPr>
          <w:rFonts w:ascii="Arial" w:hAnsi="Arial" w:cs="Arial"/>
          <w:iCs/>
          <w:sz w:val="22"/>
          <w:szCs w:val="22"/>
          <w:lang w:val="en-ZA"/>
        </w:rPr>
        <w:t>companies be exempt from applying the assessed loss restriction rule while in the process of liquidation, deregistration or winding up.</w:t>
      </w:r>
    </w:p>
    <w:p w14:paraId="7EBAE018" w14:textId="77777777" w:rsidR="00B50464" w:rsidRPr="00403DF5" w:rsidRDefault="00B50464" w:rsidP="00B50464">
      <w:pPr>
        <w:pStyle w:val="BodyText"/>
        <w:spacing w:before="158"/>
        <w:ind w:left="555"/>
        <w:jc w:val="both"/>
        <w:rPr>
          <w:rFonts w:ascii="Arial" w:hAnsi="Arial" w:cs="Arial"/>
          <w:lang w:val="en-ZA"/>
        </w:rPr>
      </w:pPr>
    </w:p>
    <w:p w14:paraId="7078CD08" w14:textId="202AFF47" w:rsidR="00503B0C" w:rsidRPr="00FB78D1" w:rsidRDefault="79A2F919" w:rsidP="00CA61D4">
      <w:pPr>
        <w:pStyle w:val="BodyText"/>
        <w:spacing w:line="271" w:lineRule="auto"/>
        <w:ind w:left="492" w:right="153"/>
        <w:jc w:val="both"/>
        <w:rPr>
          <w:rFonts w:ascii="Arial" w:hAnsi="Arial" w:cs="Arial"/>
          <w:i/>
          <w:sz w:val="22"/>
          <w:szCs w:val="22"/>
          <w:lang w:val="en-ZA"/>
        </w:rPr>
      </w:pPr>
      <w:r w:rsidRPr="00FB78D1">
        <w:rPr>
          <w:rFonts w:ascii="Arial" w:hAnsi="Arial" w:cs="Arial"/>
          <w:i/>
          <w:sz w:val="22"/>
          <w:szCs w:val="22"/>
          <w:lang w:val="en-ZA"/>
        </w:rPr>
        <w:t xml:space="preserve">Comment: </w:t>
      </w:r>
      <w:r w:rsidRPr="00403DF5">
        <w:rPr>
          <w:rFonts w:ascii="Arial" w:hAnsi="Arial" w:cs="Arial"/>
          <w:sz w:val="22"/>
          <w:szCs w:val="22"/>
          <w:lang w:val="en-ZA"/>
        </w:rPr>
        <w:t xml:space="preserve">The </w:t>
      </w:r>
      <w:r w:rsidR="3C80DA05" w:rsidRPr="00403DF5">
        <w:rPr>
          <w:rFonts w:ascii="Arial" w:hAnsi="Arial" w:cs="Arial"/>
          <w:sz w:val="22"/>
          <w:szCs w:val="22"/>
          <w:lang w:val="en-ZA"/>
        </w:rPr>
        <w:t>reference to section 41(4) unintentionally narrows the application of the proposed exemption</w:t>
      </w:r>
      <w:r w:rsidR="68B2AA5A" w:rsidRPr="00403DF5">
        <w:rPr>
          <w:rFonts w:ascii="Arial" w:hAnsi="Arial" w:cs="Arial"/>
          <w:sz w:val="22"/>
          <w:szCs w:val="22"/>
          <w:lang w:val="en-ZA"/>
        </w:rPr>
        <w:t xml:space="preserve">. </w:t>
      </w:r>
      <w:r w:rsidR="051536BB" w:rsidRPr="00403DF5">
        <w:rPr>
          <w:rFonts w:ascii="Arial" w:hAnsi="Arial" w:cs="Arial"/>
          <w:sz w:val="22"/>
          <w:szCs w:val="22"/>
          <w:lang w:val="en-ZA"/>
        </w:rPr>
        <w:t>T</w:t>
      </w:r>
      <w:r w:rsidR="00559EB7" w:rsidRPr="00403DF5">
        <w:rPr>
          <w:rFonts w:ascii="Arial" w:hAnsi="Arial" w:cs="Arial"/>
          <w:sz w:val="22"/>
          <w:szCs w:val="22"/>
          <w:lang w:val="en-ZA"/>
        </w:rPr>
        <w:t xml:space="preserve">he settlement of all liabilities is likely to be one of the last steps that will be taken during a liquidation or winding up process which typically takes place years after the resolution is lodged for complicated </w:t>
      </w:r>
      <w:r w:rsidR="31F84F39" w:rsidRPr="00403DF5">
        <w:rPr>
          <w:rFonts w:ascii="Arial" w:hAnsi="Arial" w:cs="Arial"/>
          <w:sz w:val="22"/>
          <w:szCs w:val="22"/>
          <w:lang w:val="en-ZA"/>
        </w:rPr>
        <w:t xml:space="preserve">liquidations. </w:t>
      </w:r>
      <w:r w:rsidR="1E5470EB" w:rsidRPr="00403DF5">
        <w:rPr>
          <w:rFonts w:ascii="Arial" w:hAnsi="Arial" w:cs="Arial"/>
          <w:sz w:val="22"/>
          <w:szCs w:val="22"/>
          <w:lang w:val="en-ZA"/>
        </w:rPr>
        <w:t>There are o</w:t>
      </w:r>
      <w:r w:rsidR="0258B946" w:rsidRPr="00403DF5">
        <w:rPr>
          <w:rFonts w:ascii="Arial" w:hAnsi="Arial" w:cs="Arial"/>
          <w:sz w:val="22"/>
          <w:szCs w:val="22"/>
          <w:lang w:val="en-ZA"/>
        </w:rPr>
        <w:t xml:space="preserve">ther instances where the exemption would assist companies </w:t>
      </w:r>
      <w:r w:rsidR="1F58DD4D" w:rsidRPr="00403DF5">
        <w:rPr>
          <w:rFonts w:ascii="Arial" w:hAnsi="Arial" w:cs="Arial"/>
          <w:sz w:val="22"/>
          <w:szCs w:val="22"/>
          <w:lang w:val="en-ZA"/>
        </w:rPr>
        <w:t>such as</w:t>
      </w:r>
      <w:r w:rsidR="0258B946" w:rsidRPr="00403DF5">
        <w:rPr>
          <w:rFonts w:ascii="Arial" w:hAnsi="Arial" w:cs="Arial"/>
          <w:sz w:val="22"/>
          <w:szCs w:val="22"/>
          <w:lang w:val="en-ZA"/>
        </w:rPr>
        <w:t xml:space="preserve"> </w:t>
      </w:r>
      <w:r w:rsidR="24808494" w:rsidRPr="00403DF5">
        <w:rPr>
          <w:rFonts w:ascii="Arial" w:hAnsi="Arial" w:cs="Arial"/>
          <w:sz w:val="22"/>
          <w:szCs w:val="22"/>
          <w:lang w:val="en-ZA"/>
        </w:rPr>
        <w:t>c</w:t>
      </w:r>
      <w:r w:rsidR="31F84F39" w:rsidRPr="00403DF5">
        <w:rPr>
          <w:rFonts w:ascii="Arial" w:hAnsi="Arial" w:cs="Arial"/>
          <w:sz w:val="22"/>
          <w:szCs w:val="22"/>
          <w:lang w:val="en-ZA"/>
        </w:rPr>
        <w:t>ompanies</w:t>
      </w:r>
      <w:r w:rsidR="3C80DA05" w:rsidRPr="00403DF5">
        <w:rPr>
          <w:rFonts w:ascii="Arial" w:hAnsi="Arial" w:cs="Arial"/>
          <w:sz w:val="22"/>
          <w:szCs w:val="22"/>
          <w:lang w:val="en-ZA"/>
        </w:rPr>
        <w:t xml:space="preserve"> with different shareholder structures and </w:t>
      </w:r>
      <w:r w:rsidR="5726FC49" w:rsidRPr="00403DF5">
        <w:rPr>
          <w:rFonts w:ascii="Arial" w:hAnsi="Arial" w:cs="Arial"/>
          <w:sz w:val="22"/>
          <w:szCs w:val="22"/>
          <w:lang w:val="en-ZA"/>
        </w:rPr>
        <w:t xml:space="preserve">companies undergoing business rescue (voluntary or </w:t>
      </w:r>
      <w:r w:rsidR="43C5AC83" w:rsidRPr="00403DF5">
        <w:rPr>
          <w:rFonts w:ascii="Arial" w:hAnsi="Arial" w:cs="Arial"/>
          <w:sz w:val="22"/>
          <w:szCs w:val="22"/>
          <w:lang w:val="en-ZA"/>
        </w:rPr>
        <w:t xml:space="preserve">involuntary) </w:t>
      </w:r>
      <w:r w:rsidR="6DF37C9B" w:rsidRPr="00403DF5">
        <w:rPr>
          <w:rFonts w:ascii="Arial" w:hAnsi="Arial" w:cs="Arial"/>
          <w:sz w:val="22"/>
          <w:szCs w:val="22"/>
          <w:lang w:val="en-ZA"/>
        </w:rPr>
        <w:t xml:space="preserve">which </w:t>
      </w:r>
      <w:r w:rsidR="43C5AC83" w:rsidRPr="00403DF5">
        <w:rPr>
          <w:rFonts w:ascii="Arial" w:hAnsi="Arial" w:cs="Arial"/>
          <w:sz w:val="22"/>
          <w:szCs w:val="22"/>
          <w:lang w:val="en-ZA"/>
        </w:rPr>
        <w:t>are</w:t>
      </w:r>
      <w:r w:rsidR="13D07880" w:rsidRPr="00403DF5">
        <w:rPr>
          <w:rFonts w:ascii="Arial" w:hAnsi="Arial" w:cs="Arial"/>
          <w:sz w:val="22"/>
          <w:szCs w:val="22"/>
          <w:lang w:val="en-ZA"/>
        </w:rPr>
        <w:t xml:space="preserve"> not included</w:t>
      </w:r>
      <w:r w:rsidR="7F44475D" w:rsidRPr="00403DF5">
        <w:rPr>
          <w:rFonts w:ascii="Arial" w:hAnsi="Arial" w:cs="Arial"/>
          <w:sz w:val="22"/>
          <w:szCs w:val="22"/>
          <w:lang w:val="en-ZA"/>
        </w:rPr>
        <w:t xml:space="preserve"> in the draft</w:t>
      </w:r>
      <w:r w:rsidR="11D48BA4" w:rsidRPr="00403DF5">
        <w:rPr>
          <w:rFonts w:ascii="Arial" w:hAnsi="Arial" w:cs="Arial"/>
          <w:sz w:val="22"/>
          <w:szCs w:val="22"/>
          <w:lang w:val="en-ZA"/>
        </w:rPr>
        <w:t xml:space="preserve"> </w:t>
      </w:r>
      <w:r w:rsidR="54F339D7" w:rsidRPr="00403DF5">
        <w:rPr>
          <w:rFonts w:ascii="Arial" w:hAnsi="Arial" w:cs="Arial"/>
          <w:sz w:val="22"/>
          <w:szCs w:val="22"/>
          <w:lang w:val="en-ZA"/>
        </w:rPr>
        <w:t>legislation.</w:t>
      </w:r>
    </w:p>
    <w:p w14:paraId="037B4911" w14:textId="2073F7FA" w:rsidR="00503B0C" w:rsidRPr="00403DF5" w:rsidRDefault="00503B0C" w:rsidP="00503B0C">
      <w:pPr>
        <w:pStyle w:val="BodyText"/>
        <w:spacing w:line="271" w:lineRule="auto"/>
        <w:ind w:left="492" w:right="153"/>
        <w:jc w:val="both"/>
        <w:rPr>
          <w:rFonts w:ascii="Arial" w:hAnsi="Arial" w:cs="Arial"/>
          <w:lang w:val="en-ZA"/>
        </w:rPr>
      </w:pPr>
    </w:p>
    <w:p w14:paraId="3BF62AC8" w14:textId="5B53157E" w:rsidR="00BB06CF" w:rsidRPr="00FB78D1" w:rsidRDefault="79A2F919" w:rsidP="003F111D">
      <w:pPr>
        <w:pStyle w:val="BodyText"/>
        <w:spacing w:line="271" w:lineRule="auto"/>
        <w:ind w:left="831" w:right="152"/>
        <w:jc w:val="both"/>
        <w:rPr>
          <w:rFonts w:ascii="Arial" w:hAnsi="Arial" w:cs="Arial"/>
          <w:i/>
          <w:sz w:val="22"/>
          <w:szCs w:val="22"/>
          <w:lang w:val="en-ZA"/>
        </w:rPr>
      </w:pPr>
      <w:r w:rsidRPr="00FB78D1">
        <w:rPr>
          <w:rFonts w:ascii="Arial" w:hAnsi="Arial" w:cs="Arial"/>
          <w:i/>
          <w:sz w:val="22"/>
          <w:szCs w:val="22"/>
          <w:lang w:val="en-ZA"/>
        </w:rPr>
        <w:t xml:space="preserve">Response: </w:t>
      </w:r>
      <w:r w:rsidR="0A3744A5" w:rsidRPr="00403DF5">
        <w:rPr>
          <w:rFonts w:ascii="Arial" w:hAnsi="Arial" w:cs="Arial"/>
          <w:sz w:val="22"/>
          <w:szCs w:val="22"/>
          <w:u w:val="single"/>
          <w:lang w:val="en-ZA"/>
        </w:rPr>
        <w:t xml:space="preserve">Not </w:t>
      </w:r>
      <w:r w:rsidRPr="00403DF5">
        <w:rPr>
          <w:rFonts w:ascii="Arial" w:hAnsi="Arial" w:cs="Arial"/>
          <w:sz w:val="22"/>
          <w:szCs w:val="22"/>
          <w:u w:val="single"/>
          <w:lang w:val="en-ZA"/>
        </w:rPr>
        <w:t>Accepted</w:t>
      </w:r>
      <w:r w:rsidRPr="00403DF5">
        <w:rPr>
          <w:rFonts w:ascii="Arial" w:hAnsi="Arial" w:cs="Arial"/>
          <w:sz w:val="22"/>
          <w:szCs w:val="22"/>
          <w:lang w:val="en-ZA"/>
        </w:rPr>
        <w:t xml:space="preserve">. </w:t>
      </w:r>
      <w:r w:rsidR="748C618A" w:rsidRPr="00403DF5">
        <w:rPr>
          <w:rFonts w:ascii="Arial" w:hAnsi="Arial" w:cs="Arial"/>
          <w:sz w:val="22"/>
          <w:szCs w:val="22"/>
          <w:lang w:val="en-ZA"/>
        </w:rPr>
        <w:t>Government recognises the potential limitations.</w:t>
      </w:r>
      <w:r w:rsidR="6D047CB4" w:rsidRPr="00403DF5">
        <w:rPr>
          <w:rFonts w:ascii="Arial" w:hAnsi="Arial" w:cs="Arial"/>
          <w:sz w:val="22"/>
          <w:szCs w:val="22"/>
          <w:lang w:val="en-ZA"/>
        </w:rPr>
        <w:t xml:space="preserve"> </w:t>
      </w:r>
      <w:r w:rsidR="176E449A" w:rsidRPr="00403DF5">
        <w:rPr>
          <w:rFonts w:ascii="Arial" w:hAnsi="Arial" w:cs="Arial"/>
          <w:sz w:val="22"/>
          <w:szCs w:val="22"/>
          <w:lang w:val="en-ZA"/>
        </w:rPr>
        <w:t xml:space="preserve">The intention is </w:t>
      </w:r>
      <w:r w:rsidR="149E838F" w:rsidRPr="00403DF5">
        <w:rPr>
          <w:rFonts w:ascii="Arial" w:hAnsi="Arial" w:cs="Arial"/>
          <w:sz w:val="22"/>
          <w:szCs w:val="22"/>
          <w:lang w:val="en-ZA"/>
        </w:rPr>
        <w:t xml:space="preserve">to ensure that only those businesses </w:t>
      </w:r>
      <w:r w:rsidR="75EF3688" w:rsidRPr="00403DF5">
        <w:rPr>
          <w:rFonts w:ascii="Arial" w:hAnsi="Arial" w:cs="Arial"/>
          <w:sz w:val="22"/>
          <w:szCs w:val="22"/>
          <w:lang w:val="en-ZA"/>
        </w:rPr>
        <w:t xml:space="preserve">that </w:t>
      </w:r>
      <w:r w:rsidR="2527A47A" w:rsidRPr="00403DF5">
        <w:rPr>
          <w:rFonts w:ascii="Arial" w:hAnsi="Arial" w:cs="Arial"/>
          <w:sz w:val="22"/>
          <w:szCs w:val="22"/>
          <w:lang w:val="en-ZA"/>
        </w:rPr>
        <w:t>have taken the necessary steps</w:t>
      </w:r>
      <w:r w:rsidR="711032E2" w:rsidRPr="00403DF5">
        <w:rPr>
          <w:rFonts w:ascii="Arial" w:hAnsi="Arial" w:cs="Arial"/>
          <w:sz w:val="22"/>
          <w:szCs w:val="22"/>
          <w:lang w:val="en-ZA"/>
        </w:rPr>
        <w:t xml:space="preserve"> and </w:t>
      </w:r>
      <w:r w:rsidR="392A761B" w:rsidRPr="00403DF5">
        <w:rPr>
          <w:rFonts w:ascii="Arial" w:hAnsi="Arial" w:cs="Arial"/>
          <w:sz w:val="22"/>
          <w:szCs w:val="22"/>
          <w:lang w:val="en-ZA"/>
        </w:rPr>
        <w:t xml:space="preserve">are </w:t>
      </w:r>
      <w:r w:rsidR="00E596DB" w:rsidRPr="00403DF5">
        <w:rPr>
          <w:rFonts w:ascii="Arial" w:hAnsi="Arial" w:cs="Arial"/>
          <w:sz w:val="22"/>
          <w:szCs w:val="22"/>
          <w:lang w:val="en-ZA"/>
        </w:rPr>
        <w:t>being</w:t>
      </w:r>
      <w:r w:rsidR="05AA9072" w:rsidRPr="00403DF5">
        <w:rPr>
          <w:rFonts w:ascii="Arial" w:hAnsi="Arial" w:cs="Arial"/>
          <w:sz w:val="22"/>
          <w:szCs w:val="22"/>
          <w:lang w:val="en-ZA"/>
        </w:rPr>
        <w:t xml:space="preserve"> </w:t>
      </w:r>
      <w:r w:rsidR="4A587402" w:rsidRPr="00403DF5">
        <w:rPr>
          <w:rFonts w:ascii="Arial" w:hAnsi="Arial" w:cs="Arial"/>
          <w:sz w:val="22"/>
          <w:szCs w:val="22"/>
          <w:lang w:val="en-ZA"/>
        </w:rPr>
        <w:t>liquid</w:t>
      </w:r>
      <w:r w:rsidR="7487C9F6" w:rsidRPr="00403DF5">
        <w:rPr>
          <w:rFonts w:ascii="Arial" w:hAnsi="Arial" w:cs="Arial"/>
          <w:sz w:val="22"/>
          <w:szCs w:val="22"/>
          <w:lang w:val="en-ZA"/>
        </w:rPr>
        <w:t>ated</w:t>
      </w:r>
      <w:r w:rsidR="05AA9072" w:rsidRPr="00403DF5">
        <w:rPr>
          <w:rFonts w:ascii="Arial" w:hAnsi="Arial" w:cs="Arial"/>
          <w:sz w:val="22"/>
          <w:szCs w:val="22"/>
          <w:lang w:val="en-ZA"/>
        </w:rPr>
        <w:t xml:space="preserve">, </w:t>
      </w:r>
      <w:r w:rsidR="542DE7D3" w:rsidRPr="00403DF5">
        <w:rPr>
          <w:rFonts w:ascii="Arial" w:hAnsi="Arial" w:cs="Arial"/>
          <w:sz w:val="22"/>
          <w:szCs w:val="22"/>
          <w:lang w:val="en-ZA"/>
        </w:rPr>
        <w:t>deregist</w:t>
      </w:r>
      <w:r w:rsidR="5E70BDD7" w:rsidRPr="00403DF5">
        <w:rPr>
          <w:rFonts w:ascii="Arial" w:hAnsi="Arial" w:cs="Arial"/>
          <w:sz w:val="22"/>
          <w:szCs w:val="22"/>
          <w:lang w:val="en-ZA"/>
        </w:rPr>
        <w:t>ered</w:t>
      </w:r>
      <w:r w:rsidR="05AA9072" w:rsidRPr="00403DF5">
        <w:rPr>
          <w:rFonts w:ascii="Arial" w:hAnsi="Arial" w:cs="Arial"/>
          <w:sz w:val="22"/>
          <w:szCs w:val="22"/>
          <w:lang w:val="en-ZA"/>
        </w:rPr>
        <w:t xml:space="preserve"> or w</w:t>
      </w:r>
      <w:r w:rsidR="113C8240" w:rsidRPr="00403DF5">
        <w:rPr>
          <w:rFonts w:ascii="Arial" w:hAnsi="Arial" w:cs="Arial"/>
          <w:sz w:val="22"/>
          <w:szCs w:val="22"/>
          <w:lang w:val="en-ZA"/>
        </w:rPr>
        <w:t>ound</w:t>
      </w:r>
      <w:r w:rsidR="05AA9072" w:rsidRPr="00403DF5">
        <w:rPr>
          <w:rFonts w:ascii="Arial" w:hAnsi="Arial" w:cs="Arial"/>
          <w:sz w:val="22"/>
          <w:szCs w:val="22"/>
          <w:lang w:val="en-ZA"/>
        </w:rPr>
        <w:t xml:space="preserve">-up are </w:t>
      </w:r>
      <w:r w:rsidR="33FBEACB" w:rsidRPr="00403DF5">
        <w:rPr>
          <w:rFonts w:ascii="Arial" w:hAnsi="Arial" w:cs="Arial"/>
          <w:sz w:val="22"/>
          <w:szCs w:val="22"/>
          <w:lang w:val="en-ZA"/>
        </w:rPr>
        <w:t>exempt from</w:t>
      </w:r>
      <w:r w:rsidR="05AA9072" w:rsidRPr="00403DF5">
        <w:rPr>
          <w:rFonts w:ascii="Arial" w:hAnsi="Arial" w:cs="Arial"/>
          <w:sz w:val="22"/>
          <w:szCs w:val="22"/>
          <w:lang w:val="en-ZA"/>
        </w:rPr>
        <w:t xml:space="preserve"> applying the assessed loss restriction</w:t>
      </w:r>
      <w:r w:rsidR="0718DA8B" w:rsidRPr="00403DF5">
        <w:rPr>
          <w:rFonts w:ascii="Arial" w:hAnsi="Arial" w:cs="Arial"/>
          <w:sz w:val="22"/>
          <w:szCs w:val="22"/>
          <w:lang w:val="en-ZA"/>
        </w:rPr>
        <w:t>.</w:t>
      </w:r>
      <w:r w:rsidR="0718DA8B" w:rsidRPr="00FB78D1">
        <w:rPr>
          <w:rFonts w:ascii="Arial" w:hAnsi="Arial" w:cs="Arial"/>
          <w:i/>
          <w:sz w:val="22"/>
          <w:szCs w:val="22"/>
          <w:lang w:val="en-ZA"/>
        </w:rPr>
        <w:t xml:space="preserve"> </w:t>
      </w:r>
    </w:p>
    <w:p w14:paraId="4DCAC354" w14:textId="37C2CE05" w:rsidR="5599BAA5" w:rsidRPr="00403DF5" w:rsidRDefault="5599BAA5" w:rsidP="0D47019B">
      <w:pPr>
        <w:pStyle w:val="BodyText"/>
        <w:spacing w:line="271" w:lineRule="auto"/>
        <w:ind w:left="492" w:right="153"/>
        <w:jc w:val="both"/>
        <w:rPr>
          <w:rFonts w:ascii="Arial" w:hAnsi="Arial" w:cs="Arial"/>
          <w:lang w:val="en-ZA"/>
        </w:rPr>
      </w:pPr>
    </w:p>
    <w:p w14:paraId="6E2D8648" w14:textId="3AF66036" w:rsidR="00BB06CF" w:rsidRPr="00FB78D1" w:rsidRDefault="3BAACB66" w:rsidP="251BE3F0">
      <w:pPr>
        <w:pStyle w:val="BodyText"/>
        <w:spacing w:line="271" w:lineRule="auto"/>
        <w:ind w:left="492" w:right="153"/>
        <w:jc w:val="both"/>
        <w:rPr>
          <w:rFonts w:ascii="Arial" w:hAnsi="Arial" w:cs="Arial"/>
          <w:i/>
          <w:sz w:val="22"/>
          <w:szCs w:val="22"/>
          <w:lang w:val="en-ZA"/>
        </w:rPr>
      </w:pPr>
      <w:r w:rsidRPr="00FB78D1">
        <w:rPr>
          <w:rFonts w:ascii="Arial" w:hAnsi="Arial" w:cs="Arial"/>
          <w:i/>
          <w:sz w:val="22"/>
          <w:szCs w:val="22"/>
          <w:lang w:val="en-ZA"/>
        </w:rPr>
        <w:t xml:space="preserve">Comment: </w:t>
      </w:r>
      <w:r w:rsidR="031C98C1" w:rsidRPr="00403DF5">
        <w:rPr>
          <w:rFonts w:ascii="Arial" w:hAnsi="Arial" w:cs="Arial"/>
          <w:sz w:val="22"/>
          <w:szCs w:val="22"/>
          <w:lang w:val="en-ZA"/>
        </w:rPr>
        <w:t xml:space="preserve">The exemption for companies in the </w:t>
      </w:r>
      <w:r w:rsidR="56194F38" w:rsidRPr="00403DF5">
        <w:rPr>
          <w:rFonts w:ascii="Arial" w:hAnsi="Arial" w:cs="Arial"/>
          <w:sz w:val="22"/>
          <w:szCs w:val="22"/>
          <w:lang w:val="en-ZA"/>
        </w:rPr>
        <w:t xml:space="preserve">process of liquidation, deregistration or wind-up was an </w:t>
      </w:r>
      <w:r w:rsidR="3CB7A3E7" w:rsidRPr="00403DF5">
        <w:rPr>
          <w:rFonts w:ascii="Arial" w:hAnsi="Arial" w:cs="Arial"/>
          <w:sz w:val="22"/>
          <w:szCs w:val="22"/>
          <w:lang w:val="en-ZA"/>
        </w:rPr>
        <w:t>unintended consequence</w:t>
      </w:r>
      <w:r w:rsidR="67B2C52E" w:rsidRPr="00403DF5">
        <w:rPr>
          <w:rFonts w:ascii="Arial" w:hAnsi="Arial" w:cs="Arial"/>
          <w:sz w:val="22"/>
          <w:szCs w:val="22"/>
          <w:lang w:val="en-ZA"/>
        </w:rPr>
        <w:t xml:space="preserve"> </w:t>
      </w:r>
      <w:r w:rsidR="26692143" w:rsidRPr="00403DF5">
        <w:rPr>
          <w:rFonts w:ascii="Arial" w:hAnsi="Arial" w:cs="Arial"/>
          <w:sz w:val="22"/>
          <w:szCs w:val="22"/>
          <w:lang w:val="en-ZA"/>
        </w:rPr>
        <w:t>upon</w:t>
      </w:r>
      <w:r w:rsidR="67B2C52E" w:rsidRPr="00403DF5">
        <w:rPr>
          <w:rFonts w:ascii="Arial" w:hAnsi="Arial" w:cs="Arial"/>
          <w:sz w:val="22"/>
          <w:szCs w:val="22"/>
          <w:lang w:val="en-ZA"/>
        </w:rPr>
        <w:t xml:space="preserve"> </w:t>
      </w:r>
      <w:r w:rsidR="6D9E6A14" w:rsidRPr="00403DF5">
        <w:rPr>
          <w:rFonts w:ascii="Arial" w:hAnsi="Arial" w:cs="Arial"/>
          <w:sz w:val="22"/>
          <w:szCs w:val="22"/>
          <w:lang w:val="en-ZA"/>
        </w:rPr>
        <w:t>implementation</w:t>
      </w:r>
      <w:r w:rsidR="67B2C52E" w:rsidRPr="00403DF5">
        <w:rPr>
          <w:rFonts w:ascii="Arial" w:hAnsi="Arial" w:cs="Arial"/>
          <w:sz w:val="22"/>
          <w:szCs w:val="22"/>
          <w:lang w:val="en-ZA"/>
        </w:rPr>
        <w:t xml:space="preserve"> of the limitation of set off provision</w:t>
      </w:r>
      <w:r w:rsidR="2CC87D67" w:rsidRPr="00403DF5">
        <w:rPr>
          <w:rFonts w:ascii="Arial" w:hAnsi="Arial" w:cs="Arial"/>
          <w:sz w:val="22"/>
          <w:szCs w:val="22"/>
          <w:lang w:val="en-ZA"/>
        </w:rPr>
        <w:t>.</w:t>
      </w:r>
      <w:r w:rsidR="00A44CCE">
        <w:rPr>
          <w:rFonts w:ascii="Arial" w:hAnsi="Arial" w:cs="Arial"/>
          <w:sz w:val="22"/>
          <w:szCs w:val="22"/>
          <w:lang w:val="en-ZA"/>
        </w:rPr>
        <w:t xml:space="preserve"> T</w:t>
      </w:r>
      <w:r w:rsidR="67B2C52E" w:rsidRPr="00403DF5">
        <w:rPr>
          <w:rFonts w:ascii="Arial" w:hAnsi="Arial" w:cs="Arial"/>
          <w:sz w:val="22"/>
          <w:szCs w:val="22"/>
          <w:lang w:val="en-ZA"/>
        </w:rPr>
        <w:t xml:space="preserve">he effective date of this exemption should </w:t>
      </w:r>
      <w:r w:rsidR="7FC9B20A" w:rsidRPr="00403DF5">
        <w:rPr>
          <w:rFonts w:ascii="Arial" w:hAnsi="Arial" w:cs="Arial"/>
          <w:sz w:val="22"/>
          <w:szCs w:val="22"/>
          <w:lang w:val="en-ZA"/>
        </w:rPr>
        <w:t xml:space="preserve">be </w:t>
      </w:r>
      <w:r w:rsidR="67B2C52E" w:rsidRPr="00403DF5">
        <w:rPr>
          <w:rFonts w:ascii="Arial" w:hAnsi="Arial" w:cs="Arial"/>
          <w:sz w:val="22"/>
          <w:szCs w:val="22"/>
          <w:lang w:val="en-ZA"/>
        </w:rPr>
        <w:t xml:space="preserve">brought </w:t>
      </w:r>
      <w:r w:rsidR="19C56F43" w:rsidRPr="00403DF5">
        <w:rPr>
          <w:rFonts w:ascii="Arial" w:hAnsi="Arial" w:cs="Arial"/>
          <w:sz w:val="22"/>
          <w:szCs w:val="22"/>
          <w:lang w:val="en-ZA"/>
        </w:rPr>
        <w:t xml:space="preserve">forward </w:t>
      </w:r>
      <w:r w:rsidR="67B2C52E" w:rsidRPr="00403DF5">
        <w:rPr>
          <w:rFonts w:ascii="Arial" w:hAnsi="Arial" w:cs="Arial"/>
          <w:sz w:val="22"/>
          <w:szCs w:val="22"/>
          <w:lang w:val="en-ZA"/>
        </w:rPr>
        <w:t xml:space="preserve">and rather apply to years of </w:t>
      </w:r>
      <w:r w:rsidR="0BC39C1E" w:rsidRPr="00403DF5">
        <w:rPr>
          <w:rFonts w:ascii="Arial" w:hAnsi="Arial" w:cs="Arial"/>
          <w:sz w:val="22"/>
          <w:szCs w:val="22"/>
          <w:lang w:val="en-ZA"/>
        </w:rPr>
        <w:t>assessment</w:t>
      </w:r>
      <w:r w:rsidR="67B2C52E" w:rsidRPr="00403DF5">
        <w:rPr>
          <w:rFonts w:ascii="Arial" w:hAnsi="Arial" w:cs="Arial"/>
          <w:sz w:val="22"/>
          <w:szCs w:val="22"/>
          <w:lang w:val="en-ZA"/>
        </w:rPr>
        <w:t xml:space="preserve"> end</w:t>
      </w:r>
      <w:r w:rsidR="7FE77323" w:rsidRPr="00403DF5">
        <w:rPr>
          <w:rFonts w:ascii="Arial" w:hAnsi="Arial" w:cs="Arial"/>
          <w:sz w:val="22"/>
          <w:szCs w:val="22"/>
          <w:lang w:val="en-ZA"/>
        </w:rPr>
        <w:t>ing</w:t>
      </w:r>
      <w:r w:rsidR="5A2EC553" w:rsidRPr="00403DF5">
        <w:rPr>
          <w:rFonts w:ascii="Arial" w:hAnsi="Arial" w:cs="Arial"/>
          <w:sz w:val="22"/>
          <w:szCs w:val="22"/>
          <w:lang w:val="en-ZA"/>
        </w:rPr>
        <w:t xml:space="preserve"> on or after 31 January 2025</w:t>
      </w:r>
      <w:r w:rsidR="7FE77323" w:rsidRPr="00403DF5">
        <w:rPr>
          <w:rFonts w:ascii="Arial" w:hAnsi="Arial" w:cs="Arial"/>
          <w:sz w:val="22"/>
          <w:szCs w:val="22"/>
          <w:lang w:val="en-ZA"/>
        </w:rPr>
        <w:t xml:space="preserve"> </w:t>
      </w:r>
      <w:r w:rsidR="2ABD4C0C" w:rsidRPr="00403DF5">
        <w:rPr>
          <w:rFonts w:ascii="Arial" w:hAnsi="Arial" w:cs="Arial"/>
          <w:sz w:val="22"/>
          <w:szCs w:val="22"/>
          <w:lang w:val="en-ZA"/>
        </w:rPr>
        <w:t xml:space="preserve">instead of years of assessment </w:t>
      </w:r>
      <w:r w:rsidR="7FE77323" w:rsidRPr="00403DF5">
        <w:rPr>
          <w:rFonts w:ascii="Arial" w:hAnsi="Arial" w:cs="Arial"/>
          <w:sz w:val="22"/>
          <w:szCs w:val="22"/>
          <w:lang w:val="en-ZA"/>
        </w:rPr>
        <w:t xml:space="preserve">commencing </w:t>
      </w:r>
      <w:r w:rsidR="54F7DCA1" w:rsidRPr="00403DF5">
        <w:rPr>
          <w:rFonts w:ascii="Arial" w:hAnsi="Arial" w:cs="Arial"/>
          <w:sz w:val="22"/>
          <w:szCs w:val="22"/>
          <w:lang w:val="en-ZA"/>
        </w:rPr>
        <w:t>on or after 31 January 2025</w:t>
      </w:r>
      <w:r w:rsidR="004E5BD4" w:rsidRPr="00403DF5">
        <w:rPr>
          <w:rFonts w:ascii="Arial" w:hAnsi="Arial" w:cs="Arial"/>
          <w:sz w:val="22"/>
          <w:szCs w:val="22"/>
          <w:lang w:val="en-ZA"/>
        </w:rPr>
        <w:t>.</w:t>
      </w:r>
      <w:r w:rsidR="368F35F5" w:rsidRPr="00FB78D1">
        <w:rPr>
          <w:rFonts w:ascii="Arial" w:hAnsi="Arial" w:cs="Arial"/>
          <w:i/>
          <w:sz w:val="22"/>
          <w:szCs w:val="22"/>
          <w:lang w:val="en-ZA"/>
        </w:rPr>
        <w:t xml:space="preserve"> </w:t>
      </w:r>
    </w:p>
    <w:p w14:paraId="345378FD" w14:textId="44CC172A" w:rsidR="7E0F0692" w:rsidRPr="00403DF5" w:rsidRDefault="7E0F0692" w:rsidP="251BE3F0">
      <w:pPr>
        <w:pStyle w:val="BodyText"/>
        <w:spacing w:line="271" w:lineRule="auto"/>
        <w:ind w:left="492" w:right="153"/>
        <w:jc w:val="both"/>
        <w:rPr>
          <w:rFonts w:ascii="Arial" w:hAnsi="Arial" w:cs="Arial"/>
          <w:lang w:val="en-ZA"/>
        </w:rPr>
      </w:pPr>
    </w:p>
    <w:p w14:paraId="63855D4F" w14:textId="68E41319" w:rsidR="00BB06CF" w:rsidRPr="00403DF5" w:rsidRDefault="3BAACB66" w:rsidP="251BE3F0">
      <w:pPr>
        <w:pStyle w:val="BodyText"/>
        <w:spacing w:line="271" w:lineRule="auto"/>
        <w:ind w:left="831" w:right="152"/>
        <w:jc w:val="both"/>
        <w:rPr>
          <w:rFonts w:ascii="Arial" w:hAnsi="Arial" w:cs="Arial"/>
          <w:sz w:val="22"/>
          <w:szCs w:val="22"/>
          <w:lang w:val="en-ZA"/>
        </w:rPr>
      </w:pPr>
      <w:r w:rsidRPr="003F111D">
        <w:rPr>
          <w:rFonts w:ascii="Arial" w:hAnsi="Arial" w:cs="Arial"/>
          <w:i/>
          <w:sz w:val="22"/>
          <w:szCs w:val="22"/>
          <w:lang w:val="en-ZA"/>
        </w:rPr>
        <w:t xml:space="preserve">Response: </w:t>
      </w:r>
      <w:r w:rsidR="5FE98173" w:rsidRPr="00403DF5">
        <w:rPr>
          <w:rFonts w:ascii="Arial" w:hAnsi="Arial" w:cs="Arial"/>
          <w:sz w:val="22"/>
          <w:szCs w:val="22"/>
          <w:u w:val="single"/>
          <w:lang w:val="en-ZA"/>
        </w:rPr>
        <w:t>A</w:t>
      </w:r>
      <w:r w:rsidRPr="00403DF5">
        <w:rPr>
          <w:rFonts w:ascii="Arial" w:hAnsi="Arial" w:cs="Arial"/>
          <w:sz w:val="22"/>
          <w:szCs w:val="22"/>
          <w:u w:val="single"/>
          <w:lang w:val="en-ZA"/>
        </w:rPr>
        <w:t>ccepted</w:t>
      </w:r>
      <w:r w:rsidRPr="00403DF5">
        <w:rPr>
          <w:rFonts w:ascii="Arial" w:hAnsi="Arial" w:cs="Arial"/>
          <w:sz w:val="22"/>
          <w:szCs w:val="22"/>
          <w:lang w:val="en-ZA"/>
        </w:rPr>
        <w:t>.</w:t>
      </w:r>
      <w:r w:rsidR="77F4C5EB" w:rsidRPr="00403DF5">
        <w:rPr>
          <w:rFonts w:ascii="Arial" w:hAnsi="Arial" w:cs="Arial"/>
          <w:sz w:val="22"/>
          <w:szCs w:val="22"/>
          <w:lang w:val="en-ZA"/>
        </w:rPr>
        <w:t xml:space="preserve"> </w:t>
      </w:r>
      <w:r w:rsidR="706B2849" w:rsidRPr="00403DF5">
        <w:rPr>
          <w:rFonts w:ascii="Arial" w:hAnsi="Arial" w:cs="Arial"/>
          <w:sz w:val="22"/>
          <w:szCs w:val="22"/>
          <w:lang w:val="en-ZA"/>
        </w:rPr>
        <w:t xml:space="preserve">Effective date will be amended so that the amendment will apply to years of assessment ending on or after 31 </w:t>
      </w:r>
      <w:r w:rsidR="7F50F974" w:rsidRPr="00403DF5">
        <w:rPr>
          <w:rFonts w:ascii="Arial" w:hAnsi="Arial" w:cs="Arial"/>
          <w:sz w:val="22"/>
          <w:szCs w:val="22"/>
          <w:lang w:val="en-ZA"/>
        </w:rPr>
        <w:t>December</w:t>
      </w:r>
      <w:r w:rsidR="706B2849" w:rsidRPr="00403DF5">
        <w:rPr>
          <w:rFonts w:ascii="Arial" w:hAnsi="Arial" w:cs="Arial"/>
          <w:sz w:val="22"/>
          <w:szCs w:val="22"/>
          <w:lang w:val="en-ZA"/>
        </w:rPr>
        <w:t xml:space="preserve"> 202</w:t>
      </w:r>
      <w:r w:rsidR="0F06416A" w:rsidRPr="00403DF5">
        <w:rPr>
          <w:rFonts w:ascii="Arial" w:hAnsi="Arial" w:cs="Arial"/>
          <w:sz w:val="22"/>
          <w:szCs w:val="22"/>
          <w:lang w:val="en-ZA"/>
        </w:rPr>
        <w:t>4</w:t>
      </w:r>
      <w:r w:rsidR="0E37F543" w:rsidRPr="00403DF5">
        <w:rPr>
          <w:rFonts w:ascii="Arial" w:hAnsi="Arial" w:cs="Arial"/>
          <w:sz w:val="22"/>
          <w:szCs w:val="22"/>
          <w:lang w:val="en-ZA"/>
        </w:rPr>
        <w:t>.</w:t>
      </w:r>
    </w:p>
    <w:p w14:paraId="5E01065B" w14:textId="77777777" w:rsidR="00505BE3" w:rsidRPr="004C639D" w:rsidRDefault="00505BE3" w:rsidP="00B50464">
      <w:pPr>
        <w:pStyle w:val="BodyText"/>
        <w:spacing w:before="158"/>
        <w:ind w:left="555"/>
        <w:jc w:val="both"/>
        <w:rPr>
          <w:lang w:val="en-ZA"/>
        </w:rPr>
      </w:pPr>
      <w:bookmarkStart w:id="66" w:name="_Hlk147810647"/>
    </w:p>
    <w:p w14:paraId="6233F6E5" w14:textId="26AB4EF9" w:rsidR="00B50464" w:rsidRPr="003F111D" w:rsidRDefault="4ED9CE82" w:rsidP="003F111D">
      <w:pPr>
        <w:pStyle w:val="Heading3"/>
        <w:numPr>
          <w:ilvl w:val="1"/>
          <w:numId w:val="37"/>
        </w:numPr>
        <w:tabs>
          <w:tab w:val="left" w:pos="961"/>
        </w:tabs>
        <w:spacing w:before="0" w:line="259" w:lineRule="auto"/>
        <w:rPr>
          <w:sz w:val="22"/>
          <w:szCs w:val="22"/>
          <w:lang w:val="en-ZA"/>
        </w:rPr>
      </w:pPr>
      <w:bookmarkStart w:id="67" w:name="_Toc189212112"/>
      <w:r w:rsidRPr="003F111D">
        <w:rPr>
          <w:sz w:val="22"/>
          <w:szCs w:val="22"/>
          <w:lang w:val="en-ZA"/>
        </w:rPr>
        <w:t>Taxation issues involving unlisted property industry</w:t>
      </w:r>
      <w:bookmarkEnd w:id="67"/>
      <w:r w:rsidRPr="003F111D">
        <w:rPr>
          <w:sz w:val="22"/>
          <w:szCs w:val="22"/>
          <w:lang w:val="en-ZA"/>
        </w:rPr>
        <w:t xml:space="preserve">   </w:t>
      </w:r>
      <w:bookmarkStart w:id="68" w:name="_Hlk147214014"/>
    </w:p>
    <w:p w14:paraId="7025C976" w14:textId="4C203E09" w:rsidR="00095B2D" w:rsidRPr="00403DF5" w:rsidRDefault="27C50A0E" w:rsidP="00195633">
      <w:pPr>
        <w:pStyle w:val="BodyText"/>
        <w:spacing w:before="158"/>
        <w:ind w:left="555"/>
        <w:jc w:val="both"/>
        <w:rPr>
          <w:rFonts w:ascii="Arial" w:hAnsi="Arial" w:cs="Arial"/>
          <w:sz w:val="22"/>
          <w:szCs w:val="22"/>
          <w:lang w:val="en-ZA"/>
        </w:rPr>
      </w:pPr>
      <w:bookmarkStart w:id="69" w:name="_Hlk147214028"/>
      <w:bookmarkEnd w:id="68"/>
      <w:r w:rsidRPr="00403DF5">
        <w:rPr>
          <w:rFonts w:ascii="Arial" w:hAnsi="Arial" w:cs="Arial"/>
          <w:sz w:val="22"/>
          <w:szCs w:val="22"/>
          <w:lang w:val="en-ZA"/>
        </w:rPr>
        <w:t xml:space="preserve">(Main reference: </w:t>
      </w:r>
      <w:r w:rsidR="21739E13" w:rsidRPr="00A44CCE">
        <w:rPr>
          <w:rFonts w:ascii="Arial" w:eastAsia="Arial" w:hAnsi="Arial" w:cs="Arial"/>
          <w:color w:val="000000" w:themeColor="text1"/>
          <w:sz w:val="22"/>
          <w:szCs w:val="22"/>
          <w:lang w:val="en-ZA"/>
        </w:rPr>
        <w:t>Definition of “REIT” in section 1 of the Act</w:t>
      </w:r>
      <w:r w:rsidR="00545875" w:rsidRPr="00A44CCE">
        <w:rPr>
          <w:rFonts w:ascii="Arial" w:eastAsia="Arial" w:hAnsi="Arial" w:cs="Arial"/>
          <w:color w:val="000000" w:themeColor="text1"/>
          <w:sz w:val="22"/>
          <w:szCs w:val="22"/>
          <w:lang w:val="en-ZA"/>
        </w:rPr>
        <w:t>: Clause 1 of the Draft TLAB</w:t>
      </w:r>
      <w:r w:rsidRPr="00403DF5">
        <w:rPr>
          <w:rFonts w:ascii="Arial" w:hAnsi="Arial" w:cs="Arial"/>
          <w:sz w:val="22"/>
          <w:szCs w:val="22"/>
          <w:lang w:val="en-ZA"/>
        </w:rPr>
        <w:t>)</w:t>
      </w:r>
    </w:p>
    <w:p w14:paraId="1107E0A8" w14:textId="77777777" w:rsidR="00944EE0" w:rsidRPr="00403DF5" w:rsidRDefault="00944EE0" w:rsidP="00944EE0">
      <w:pPr>
        <w:pStyle w:val="BodyText"/>
        <w:spacing w:before="1" w:line="271" w:lineRule="auto"/>
        <w:ind w:left="492" w:right="152"/>
        <w:jc w:val="both"/>
        <w:rPr>
          <w:rFonts w:ascii="Arial" w:hAnsi="Arial" w:cs="Arial"/>
          <w:sz w:val="22"/>
          <w:szCs w:val="22"/>
          <w:lang w:val="en-ZA"/>
        </w:rPr>
      </w:pPr>
    </w:p>
    <w:p w14:paraId="7866460C" w14:textId="02299A0F" w:rsidR="006D5888" w:rsidRPr="00403DF5" w:rsidRDefault="5CF2D3F4" w:rsidP="00403DF5">
      <w:pPr>
        <w:pStyle w:val="BodyText"/>
        <w:spacing w:line="271" w:lineRule="auto"/>
        <w:ind w:left="831" w:right="152"/>
        <w:jc w:val="both"/>
        <w:rPr>
          <w:rFonts w:ascii="Arial" w:hAnsi="Arial" w:cs="Arial"/>
          <w:iCs/>
          <w:sz w:val="22"/>
          <w:szCs w:val="22"/>
          <w:lang w:val="en-ZA"/>
        </w:rPr>
      </w:pPr>
      <w:r w:rsidRPr="00403DF5">
        <w:rPr>
          <w:rFonts w:ascii="Arial" w:hAnsi="Arial" w:cs="Arial"/>
          <w:iCs/>
          <w:sz w:val="22"/>
          <w:szCs w:val="22"/>
          <w:lang w:val="en-ZA"/>
        </w:rPr>
        <w:t xml:space="preserve">Broadly, in 2012, a unified approach termed Real Estate Investment Trusts (REITs) was adopted for property investment schemes encompassing both the property unit trust and property loan stock companies in the Act. The aim was to ensure that South Africa’s property investment scheme is in line with the international norms and ensuring that the objective of the REITs to provide investors with a steady rental stream while also providing capital growth stemming from the underlying property is maintained. The REITs regime provided a flow-through principle where income and capital gains will normally be taxed solely in the hands of the investor and not in the hands of the REITs.   </w:t>
      </w:r>
    </w:p>
    <w:p w14:paraId="3E68E212" w14:textId="77777777" w:rsidR="00944EE0" w:rsidRPr="00403DF5" w:rsidRDefault="00944EE0" w:rsidP="00403DF5">
      <w:pPr>
        <w:pStyle w:val="BodyText"/>
        <w:spacing w:line="271" w:lineRule="auto"/>
        <w:ind w:left="831" w:right="152"/>
        <w:jc w:val="both"/>
        <w:rPr>
          <w:rFonts w:ascii="Arial" w:hAnsi="Arial" w:cs="Arial"/>
          <w:iCs/>
          <w:sz w:val="22"/>
          <w:szCs w:val="22"/>
          <w:lang w:val="en-ZA"/>
        </w:rPr>
      </w:pPr>
    </w:p>
    <w:p w14:paraId="59EB6ABE" w14:textId="56C42915" w:rsidR="006D5888" w:rsidRPr="00403DF5" w:rsidRDefault="5CF2D3F4" w:rsidP="00403DF5">
      <w:pPr>
        <w:pStyle w:val="BodyText"/>
        <w:spacing w:line="271" w:lineRule="auto"/>
        <w:ind w:left="831" w:right="152"/>
        <w:jc w:val="both"/>
        <w:rPr>
          <w:rFonts w:ascii="Arial" w:hAnsi="Arial" w:cs="Arial"/>
          <w:sz w:val="22"/>
          <w:szCs w:val="22"/>
          <w:lang w:val="en-ZA"/>
        </w:rPr>
      </w:pPr>
      <w:r w:rsidRPr="00403DF5">
        <w:rPr>
          <w:rFonts w:ascii="Arial" w:hAnsi="Arial" w:cs="Arial"/>
          <w:iCs/>
          <w:sz w:val="22"/>
          <w:szCs w:val="22"/>
          <w:lang w:val="en-ZA"/>
        </w:rPr>
        <w:t>Section 1 of the Act defines a “REIT” to be a South African resident company, listed on the South African stock exchange and the shares of which are listed as shares in a REIT as defined in the listing requirements of that exchange. The unlisted property companies were not afforded a flow-through treatment due to the lack of comparable regulation offered by the exchanges for the listed REITs. To provide a rule for the tax treatment of the unlisted property companies and ensur</w:t>
      </w:r>
      <w:r w:rsidR="5ED29D2E" w:rsidRPr="00403DF5">
        <w:rPr>
          <w:rFonts w:ascii="Arial" w:hAnsi="Arial" w:cs="Arial"/>
          <w:iCs/>
          <w:sz w:val="22"/>
          <w:szCs w:val="22"/>
          <w:lang w:val="en-ZA"/>
        </w:rPr>
        <w:t>e</w:t>
      </w:r>
      <w:r w:rsidRPr="00403DF5">
        <w:rPr>
          <w:rFonts w:ascii="Arial" w:hAnsi="Arial" w:cs="Arial"/>
          <w:iCs/>
          <w:sz w:val="22"/>
          <w:szCs w:val="22"/>
          <w:lang w:val="en-ZA"/>
        </w:rPr>
        <w:t xml:space="preserve"> that monitoring is done by the Financial Sector Conduct Authority</w:t>
      </w:r>
      <w:r w:rsidR="4A005DFF" w:rsidRPr="00403DF5">
        <w:rPr>
          <w:rFonts w:ascii="Arial" w:hAnsi="Arial" w:cs="Arial"/>
          <w:iCs/>
          <w:sz w:val="22"/>
          <w:szCs w:val="22"/>
          <w:lang w:val="en-ZA"/>
        </w:rPr>
        <w:t xml:space="preserve"> </w:t>
      </w:r>
      <w:r w:rsidRPr="00403DF5">
        <w:rPr>
          <w:rFonts w:ascii="Arial" w:hAnsi="Arial" w:cs="Arial"/>
          <w:iCs/>
          <w:sz w:val="22"/>
          <w:szCs w:val="22"/>
          <w:lang w:val="en-ZA"/>
        </w:rPr>
        <w:t xml:space="preserve">(“FSCA”),  </w:t>
      </w:r>
      <w:r w:rsidR="0AA0F951" w:rsidRPr="00403DF5">
        <w:rPr>
          <w:rFonts w:ascii="Arial" w:hAnsi="Arial" w:cs="Arial"/>
          <w:iCs/>
          <w:sz w:val="22"/>
          <w:szCs w:val="22"/>
          <w:lang w:val="en-ZA"/>
        </w:rPr>
        <w:t xml:space="preserve">it is proposed that </w:t>
      </w:r>
      <w:r w:rsidRPr="00403DF5">
        <w:rPr>
          <w:rFonts w:ascii="Arial" w:hAnsi="Arial" w:cs="Arial"/>
          <w:iCs/>
          <w:sz w:val="22"/>
          <w:szCs w:val="22"/>
          <w:lang w:val="en-ZA"/>
        </w:rPr>
        <w:t xml:space="preserve">the “REIT” definition in section 1 of the Act </w:t>
      </w:r>
      <w:r w:rsidR="1874830A" w:rsidRPr="00403DF5">
        <w:rPr>
          <w:rFonts w:ascii="Arial" w:hAnsi="Arial" w:cs="Arial"/>
          <w:iCs/>
          <w:sz w:val="22"/>
          <w:szCs w:val="22"/>
          <w:lang w:val="en-ZA"/>
        </w:rPr>
        <w:t>be</w:t>
      </w:r>
      <w:r w:rsidRPr="00403DF5">
        <w:rPr>
          <w:rFonts w:ascii="Arial" w:hAnsi="Arial" w:cs="Arial"/>
          <w:iCs/>
          <w:sz w:val="22"/>
          <w:szCs w:val="22"/>
          <w:lang w:val="en-ZA"/>
        </w:rPr>
        <w:t xml:space="preserve"> extended to cater for </w:t>
      </w:r>
      <w:r w:rsidR="6C157F01" w:rsidRPr="00403DF5">
        <w:rPr>
          <w:rFonts w:ascii="Arial" w:hAnsi="Arial" w:cs="Arial"/>
          <w:iCs/>
          <w:sz w:val="22"/>
          <w:szCs w:val="22"/>
          <w:lang w:val="en-ZA"/>
        </w:rPr>
        <w:t>unlisted property companies</w:t>
      </w:r>
      <w:r w:rsidRPr="00403DF5">
        <w:rPr>
          <w:rFonts w:ascii="Arial" w:hAnsi="Arial" w:cs="Arial"/>
          <w:iCs/>
          <w:sz w:val="22"/>
          <w:szCs w:val="22"/>
          <w:lang w:val="en-ZA"/>
        </w:rPr>
        <w:t xml:space="preserve"> regulated by the FSCA through the published requirements approved in consultation with the Director-General of the National Treasury.</w:t>
      </w:r>
      <w:r w:rsidRPr="00403DF5">
        <w:rPr>
          <w:rFonts w:ascii="Arial" w:hAnsi="Arial" w:cs="Arial"/>
          <w:sz w:val="22"/>
          <w:szCs w:val="22"/>
          <w:lang w:val="en-ZA"/>
        </w:rPr>
        <w:t xml:space="preserve">    </w:t>
      </w:r>
    </w:p>
    <w:bookmarkEnd w:id="66"/>
    <w:bookmarkEnd w:id="69"/>
    <w:p w14:paraId="36871164" w14:textId="77777777" w:rsidR="00D27074" w:rsidRPr="00403DF5" w:rsidRDefault="00D27074" w:rsidP="251BE3F0">
      <w:pPr>
        <w:pStyle w:val="BodyText"/>
        <w:spacing w:line="271" w:lineRule="auto"/>
        <w:ind w:left="492" w:right="153"/>
        <w:jc w:val="both"/>
        <w:rPr>
          <w:rFonts w:ascii="Arial"/>
          <w:i/>
          <w:iCs/>
          <w:sz w:val="22"/>
          <w:szCs w:val="22"/>
          <w:lang w:val="en-ZA"/>
        </w:rPr>
      </w:pPr>
    </w:p>
    <w:p w14:paraId="60346CB1" w14:textId="2E3DB2AE" w:rsidR="00D27074" w:rsidRPr="003F111D" w:rsidRDefault="243F0D8D" w:rsidP="251BE3F0">
      <w:pPr>
        <w:pStyle w:val="BodyText"/>
        <w:spacing w:line="271" w:lineRule="auto"/>
        <w:ind w:left="492" w:right="153"/>
        <w:jc w:val="both"/>
        <w:rPr>
          <w:rFonts w:ascii="Arial" w:hAnsi="Arial" w:cs="Arial"/>
          <w:i/>
          <w:sz w:val="22"/>
          <w:szCs w:val="22"/>
          <w:lang w:val="en-ZA"/>
        </w:rPr>
      </w:pPr>
      <w:r w:rsidRPr="00A44CCE">
        <w:rPr>
          <w:rFonts w:ascii="Arial" w:hAnsi="Arial" w:cs="Arial"/>
          <w:i/>
          <w:sz w:val="22"/>
          <w:szCs w:val="22"/>
          <w:lang w:val="en-ZA"/>
        </w:rPr>
        <w:t xml:space="preserve">Comment: </w:t>
      </w:r>
      <w:r w:rsidR="16FC60E6" w:rsidRPr="00403DF5">
        <w:rPr>
          <w:rFonts w:ascii="Arial" w:hAnsi="Arial" w:cs="Arial"/>
          <w:sz w:val="22"/>
          <w:szCs w:val="22"/>
          <w:lang w:val="en-ZA"/>
        </w:rPr>
        <w:t xml:space="preserve">The proposed change is welcomed. However, the draft TLAB </w:t>
      </w:r>
      <w:r w:rsidR="5088F16B" w:rsidRPr="00403DF5">
        <w:rPr>
          <w:rFonts w:ascii="Arial" w:hAnsi="Arial" w:cs="Arial"/>
          <w:sz w:val="22"/>
          <w:szCs w:val="22"/>
          <w:lang w:val="en-ZA"/>
        </w:rPr>
        <w:t>has no effective date nor deadline by which the FSCA is required to publish the approved regulations</w:t>
      </w:r>
      <w:r w:rsidR="1849CCFE" w:rsidRPr="00403DF5">
        <w:rPr>
          <w:rFonts w:ascii="Arial" w:hAnsi="Arial" w:cs="Arial"/>
          <w:sz w:val="22"/>
          <w:szCs w:val="22"/>
          <w:lang w:val="en-ZA"/>
        </w:rPr>
        <w:t>.</w:t>
      </w:r>
      <w:r w:rsidR="4BB99787" w:rsidRPr="00403DF5">
        <w:rPr>
          <w:rFonts w:ascii="Arial" w:hAnsi="Arial" w:cs="Arial"/>
          <w:sz w:val="22"/>
          <w:szCs w:val="22"/>
          <w:lang w:val="en-ZA"/>
        </w:rPr>
        <w:t xml:space="preserve"> Until the</w:t>
      </w:r>
      <w:r w:rsidR="5088F16B" w:rsidRPr="00403DF5">
        <w:rPr>
          <w:rFonts w:ascii="Arial" w:hAnsi="Arial" w:cs="Arial"/>
          <w:sz w:val="22"/>
          <w:szCs w:val="22"/>
          <w:lang w:val="en-ZA"/>
        </w:rPr>
        <w:t xml:space="preserve"> FSCA publishes the relevant regulatory framework</w:t>
      </w:r>
      <w:r w:rsidR="77A25B08" w:rsidRPr="00403DF5">
        <w:rPr>
          <w:rFonts w:ascii="Arial" w:hAnsi="Arial" w:cs="Arial"/>
          <w:sz w:val="22"/>
          <w:szCs w:val="22"/>
          <w:lang w:val="en-ZA"/>
        </w:rPr>
        <w:t xml:space="preserve"> the proposed legislation will remain ineffective</w:t>
      </w:r>
      <w:r w:rsidR="77A25B08" w:rsidRPr="003F111D">
        <w:rPr>
          <w:rFonts w:ascii="Arial" w:hAnsi="Arial" w:cs="Arial"/>
          <w:i/>
          <w:sz w:val="22"/>
          <w:szCs w:val="22"/>
          <w:lang w:val="en-ZA"/>
        </w:rPr>
        <w:t>.</w:t>
      </w:r>
    </w:p>
    <w:p w14:paraId="0C340019" w14:textId="2ADC7DCB" w:rsidR="00D27074" w:rsidRPr="004C639D" w:rsidRDefault="00D27074" w:rsidP="251BE3F0">
      <w:pPr>
        <w:pStyle w:val="BodyText"/>
        <w:spacing w:line="271" w:lineRule="auto"/>
        <w:ind w:left="492" w:right="153"/>
        <w:jc w:val="both"/>
        <w:rPr>
          <w:rFonts w:ascii="Arial"/>
          <w:i/>
          <w:iCs/>
          <w:lang w:val="en-ZA"/>
        </w:rPr>
      </w:pPr>
    </w:p>
    <w:p w14:paraId="24493D22" w14:textId="1A3CE903" w:rsidR="00D27074" w:rsidRPr="003F111D" w:rsidRDefault="243F0D8D" w:rsidP="0FE5895A">
      <w:pPr>
        <w:pStyle w:val="BodyText"/>
        <w:spacing w:line="271" w:lineRule="auto"/>
        <w:ind w:left="831" w:right="152"/>
        <w:jc w:val="both"/>
        <w:rPr>
          <w:rFonts w:ascii="Arial" w:hAnsi="Arial" w:cs="Arial"/>
          <w:i/>
          <w:iCs/>
          <w:sz w:val="22"/>
          <w:szCs w:val="22"/>
        </w:rPr>
      </w:pPr>
      <w:r w:rsidRPr="0FE5895A">
        <w:rPr>
          <w:rFonts w:ascii="Arial" w:hAnsi="Arial" w:cs="Arial"/>
          <w:i/>
          <w:iCs/>
          <w:sz w:val="22"/>
          <w:szCs w:val="22"/>
        </w:rPr>
        <w:t xml:space="preserve">Response: </w:t>
      </w:r>
      <w:r w:rsidR="7B7688E0" w:rsidRPr="0FE5895A">
        <w:rPr>
          <w:rFonts w:ascii="Arial" w:hAnsi="Arial" w:cs="Arial"/>
          <w:sz w:val="22"/>
          <w:szCs w:val="22"/>
          <w:u w:val="single"/>
        </w:rPr>
        <w:t>Noted</w:t>
      </w:r>
      <w:r w:rsidR="7B7688E0" w:rsidRPr="0FE5895A">
        <w:rPr>
          <w:rFonts w:ascii="Arial" w:hAnsi="Arial" w:cs="Arial"/>
          <w:i/>
          <w:iCs/>
          <w:sz w:val="22"/>
          <w:szCs w:val="22"/>
        </w:rPr>
        <w:t>.</w:t>
      </w:r>
      <w:r w:rsidRPr="0FE5895A">
        <w:rPr>
          <w:rFonts w:ascii="Arial" w:hAnsi="Arial" w:cs="Arial"/>
          <w:i/>
          <w:iCs/>
          <w:sz w:val="22"/>
          <w:szCs w:val="22"/>
        </w:rPr>
        <w:t xml:space="preserve"> </w:t>
      </w:r>
      <w:r w:rsidR="00EF0F29" w:rsidRPr="0FE5895A">
        <w:rPr>
          <w:sz w:val="22"/>
          <w:szCs w:val="22"/>
        </w:rPr>
        <w:t xml:space="preserve"> </w:t>
      </w:r>
      <w:r w:rsidR="00EF0F29" w:rsidRPr="0FE5895A">
        <w:rPr>
          <w:rFonts w:ascii="Arial" w:hAnsi="Arial" w:cs="Arial"/>
          <w:sz w:val="22"/>
          <w:szCs w:val="22"/>
        </w:rPr>
        <w:t>The current draft wording will be revised to allow the Minister of Finance to issue regulations for unlisted property companies catering to retirement funds and long-term insurance company policy holder funds, which will be modelled on the regulatory framework for listed property companies.</w:t>
      </w:r>
    </w:p>
    <w:p w14:paraId="32855FA7" w14:textId="77777777" w:rsidR="00D27074" w:rsidRPr="004C639D" w:rsidRDefault="00D27074" w:rsidP="251BE3F0">
      <w:pPr>
        <w:pStyle w:val="BodyText"/>
        <w:spacing w:line="271" w:lineRule="auto"/>
        <w:ind w:left="492" w:right="153"/>
        <w:jc w:val="both"/>
        <w:rPr>
          <w:rFonts w:ascii="Arial"/>
          <w:i/>
          <w:iCs/>
          <w:lang w:val="en-ZA"/>
        </w:rPr>
      </w:pPr>
    </w:p>
    <w:p w14:paraId="7B198E36" w14:textId="02A07F06" w:rsidR="00D27074" w:rsidRPr="004C639D" w:rsidRDefault="243F0D8D" w:rsidP="251BE3F0">
      <w:pPr>
        <w:pStyle w:val="BodyText"/>
        <w:spacing w:line="271" w:lineRule="auto"/>
        <w:ind w:left="492" w:right="153"/>
        <w:jc w:val="both"/>
        <w:rPr>
          <w:rFonts w:ascii="Arial" w:hAnsi="Arial" w:cs="Arial"/>
          <w:i/>
          <w:sz w:val="22"/>
          <w:szCs w:val="22"/>
          <w:lang w:val="en-ZA"/>
        </w:rPr>
      </w:pPr>
      <w:r w:rsidRPr="003F111D">
        <w:rPr>
          <w:rFonts w:ascii="Arial" w:hAnsi="Arial" w:cs="Arial"/>
          <w:i/>
          <w:sz w:val="22"/>
          <w:szCs w:val="22"/>
          <w:lang w:val="en-ZA"/>
        </w:rPr>
        <w:t xml:space="preserve">Comment: </w:t>
      </w:r>
      <w:r w:rsidR="0869C835" w:rsidRPr="00403DF5">
        <w:rPr>
          <w:rFonts w:ascii="Arial" w:hAnsi="Arial" w:cs="Arial"/>
          <w:sz w:val="22"/>
          <w:szCs w:val="22"/>
          <w:lang w:val="en-ZA"/>
        </w:rPr>
        <w:t>The draft TLAB does not include any amendments in respect of the 2024 Budget proposals regarding “the feasibility of a ‘flow</w:t>
      </w:r>
      <w:r w:rsidR="0869C835" w:rsidRPr="00403DF5">
        <w:rPr>
          <w:rFonts w:ascii="Cambria Math" w:hAnsi="Cambria Math" w:cs="Cambria Math"/>
          <w:sz w:val="22"/>
          <w:szCs w:val="22"/>
          <w:lang w:val="en-ZA"/>
        </w:rPr>
        <w:t>‐</w:t>
      </w:r>
      <w:r w:rsidR="0869C835" w:rsidRPr="00403DF5">
        <w:rPr>
          <w:rFonts w:ascii="Arial" w:hAnsi="Arial" w:cs="Arial"/>
          <w:sz w:val="22"/>
          <w:szCs w:val="22"/>
          <w:lang w:val="en-ZA"/>
        </w:rPr>
        <w:t>through’ tax treatment, similar to what is afforded to trusts and other investment vehicles, for certain clearly defined infrastructure projects, under specified circumstances”.</w:t>
      </w:r>
    </w:p>
    <w:p w14:paraId="0089F17B" w14:textId="77777777" w:rsidR="00560FC6" w:rsidRPr="003F111D" w:rsidRDefault="00560FC6" w:rsidP="251BE3F0">
      <w:pPr>
        <w:pStyle w:val="BodyText"/>
        <w:spacing w:line="271" w:lineRule="auto"/>
        <w:ind w:left="492" w:right="153"/>
        <w:jc w:val="both"/>
        <w:rPr>
          <w:rFonts w:ascii="Arial" w:hAnsi="Arial" w:cs="Arial"/>
          <w:i/>
          <w:sz w:val="22"/>
          <w:szCs w:val="22"/>
          <w:lang w:val="en-ZA"/>
        </w:rPr>
      </w:pPr>
    </w:p>
    <w:p w14:paraId="3E4536FF" w14:textId="01229140" w:rsidR="00C75410" w:rsidRPr="00403DF5" w:rsidRDefault="243F0D8D" w:rsidP="003F111D">
      <w:pPr>
        <w:pStyle w:val="BodyText"/>
        <w:spacing w:line="271" w:lineRule="auto"/>
        <w:ind w:left="831" w:right="152"/>
        <w:jc w:val="both"/>
        <w:rPr>
          <w:rFonts w:ascii="Arial" w:hAnsi="Arial" w:cs="Arial"/>
          <w:sz w:val="22"/>
          <w:szCs w:val="22"/>
          <w:lang w:val="en-ZA"/>
        </w:rPr>
      </w:pPr>
      <w:r w:rsidRPr="00403DF5">
        <w:rPr>
          <w:rFonts w:ascii="Arial" w:hAnsi="Arial" w:cs="Arial"/>
          <w:i/>
        </w:rPr>
        <w:t xml:space="preserve">Response: </w:t>
      </w:r>
      <w:r w:rsidR="689514AB" w:rsidRPr="00403DF5">
        <w:rPr>
          <w:rFonts w:ascii="Arial" w:hAnsi="Arial" w:cs="Arial"/>
          <w:u w:val="single"/>
        </w:rPr>
        <w:t>Noted</w:t>
      </w:r>
      <w:r w:rsidRPr="00403DF5">
        <w:rPr>
          <w:rFonts w:ascii="Arial" w:hAnsi="Arial" w:cs="Arial"/>
        </w:rPr>
        <w:t xml:space="preserve">. </w:t>
      </w:r>
      <w:r w:rsidR="2045F366" w:rsidRPr="00403DF5">
        <w:rPr>
          <w:rFonts w:ascii="Arial" w:hAnsi="Arial" w:cs="Arial"/>
        </w:rPr>
        <w:t>Government is still considering the tax treatment of certain infrastructure projects and</w:t>
      </w:r>
      <w:r w:rsidR="6D643EA7" w:rsidRPr="00403DF5">
        <w:rPr>
          <w:rFonts w:ascii="Arial" w:hAnsi="Arial" w:cs="Arial"/>
        </w:rPr>
        <w:t xml:space="preserve"> any</w:t>
      </w:r>
      <w:r w:rsidR="2045F366" w:rsidRPr="00403DF5">
        <w:rPr>
          <w:rFonts w:ascii="Arial" w:hAnsi="Arial" w:cs="Arial"/>
        </w:rPr>
        <w:t xml:space="preserve"> proposals regarding this work will be announced thereafter.</w:t>
      </w:r>
    </w:p>
    <w:p w14:paraId="557397C5" w14:textId="3919E32A" w:rsidR="00F72B4F" w:rsidRPr="004C639D" w:rsidRDefault="00F72B4F" w:rsidP="00403DF5">
      <w:pPr>
        <w:pStyle w:val="BodyText"/>
        <w:spacing w:line="271" w:lineRule="auto"/>
        <w:ind w:left="831" w:right="152"/>
        <w:jc w:val="both"/>
        <w:rPr>
          <w:rFonts w:ascii="Arial"/>
          <w:u w:val="single"/>
          <w:lang w:val="en-ZA"/>
        </w:rPr>
      </w:pPr>
    </w:p>
    <w:p w14:paraId="428CA1E7" w14:textId="250E30E8" w:rsidR="00505BE3" w:rsidRPr="004C639D" w:rsidRDefault="00505BE3" w:rsidP="251BE3F0">
      <w:pPr>
        <w:pStyle w:val="BodyText"/>
        <w:tabs>
          <w:tab w:val="left" w:pos="961"/>
        </w:tabs>
        <w:ind w:left="960"/>
        <w:rPr>
          <w:rFonts w:ascii="Arial"/>
          <w:lang w:val="en-ZA"/>
        </w:rPr>
      </w:pPr>
    </w:p>
    <w:p w14:paraId="7E83E543" w14:textId="53A9C0EB" w:rsidR="00505BE3" w:rsidRPr="003F111D" w:rsidRDefault="710B2403" w:rsidP="003F111D">
      <w:pPr>
        <w:pStyle w:val="Heading3"/>
        <w:numPr>
          <w:ilvl w:val="1"/>
          <w:numId w:val="37"/>
        </w:numPr>
        <w:tabs>
          <w:tab w:val="left" w:pos="961"/>
        </w:tabs>
        <w:spacing w:before="0" w:line="259" w:lineRule="auto"/>
        <w:rPr>
          <w:sz w:val="22"/>
          <w:szCs w:val="22"/>
          <w:lang w:val="en-ZA"/>
        </w:rPr>
      </w:pPr>
      <w:bookmarkStart w:id="70" w:name="_Toc189212113"/>
      <w:r w:rsidRPr="003F111D">
        <w:rPr>
          <w:sz w:val="22"/>
          <w:szCs w:val="22"/>
          <w:lang w:val="en-ZA"/>
        </w:rPr>
        <w:t>Clarification of the interest limitation rules</w:t>
      </w:r>
      <w:bookmarkEnd w:id="70"/>
    </w:p>
    <w:p w14:paraId="3EFF1DD3" w14:textId="16672976" w:rsidR="005B0C13" w:rsidRPr="00403DF5" w:rsidRDefault="710B2403" w:rsidP="00195633">
      <w:pPr>
        <w:pStyle w:val="BodyText"/>
        <w:spacing w:before="158"/>
        <w:ind w:left="555"/>
        <w:jc w:val="both"/>
        <w:rPr>
          <w:rFonts w:ascii="Arial" w:hAnsi="Arial" w:cs="Arial"/>
          <w:sz w:val="22"/>
          <w:szCs w:val="22"/>
          <w:lang w:val="en-ZA"/>
        </w:rPr>
      </w:pPr>
      <w:r w:rsidRPr="00403DF5">
        <w:rPr>
          <w:rFonts w:ascii="Arial" w:hAnsi="Arial" w:cs="Arial"/>
          <w:sz w:val="22"/>
          <w:szCs w:val="22"/>
          <w:lang w:val="en-ZA"/>
        </w:rPr>
        <w:t xml:space="preserve">(Main reference:  </w:t>
      </w:r>
      <w:r w:rsidR="03C58895" w:rsidRPr="00403DF5">
        <w:rPr>
          <w:rFonts w:ascii="Arial" w:hAnsi="Arial" w:cs="Arial"/>
          <w:sz w:val="22"/>
          <w:szCs w:val="22"/>
          <w:lang w:val="en-ZA"/>
        </w:rPr>
        <w:t>S</w:t>
      </w:r>
      <w:r w:rsidRPr="00403DF5">
        <w:rPr>
          <w:rFonts w:ascii="Arial" w:hAnsi="Arial" w:cs="Arial"/>
          <w:sz w:val="22"/>
          <w:szCs w:val="22"/>
          <w:lang w:val="en-ZA"/>
        </w:rPr>
        <w:t>ection 2</w:t>
      </w:r>
      <w:r w:rsidR="03C58895" w:rsidRPr="00403DF5">
        <w:rPr>
          <w:rFonts w:ascii="Arial" w:hAnsi="Arial" w:cs="Arial"/>
          <w:sz w:val="22"/>
          <w:szCs w:val="22"/>
          <w:lang w:val="en-ZA"/>
        </w:rPr>
        <w:t xml:space="preserve">3M </w:t>
      </w:r>
      <w:r w:rsidRPr="00403DF5">
        <w:rPr>
          <w:rFonts w:ascii="Arial" w:hAnsi="Arial" w:cs="Arial"/>
          <w:sz w:val="22"/>
          <w:szCs w:val="22"/>
          <w:lang w:val="en-ZA"/>
        </w:rPr>
        <w:t xml:space="preserve">of the Income Tax Act: Clause </w:t>
      </w:r>
      <w:r w:rsidR="2F6E176B" w:rsidRPr="00403DF5">
        <w:rPr>
          <w:rFonts w:ascii="Arial" w:hAnsi="Arial" w:cs="Arial"/>
          <w:sz w:val="22"/>
          <w:szCs w:val="22"/>
          <w:lang w:val="en-ZA"/>
        </w:rPr>
        <w:t>18</w:t>
      </w:r>
      <w:r w:rsidRPr="00403DF5">
        <w:rPr>
          <w:rFonts w:ascii="Arial" w:hAnsi="Arial" w:cs="Arial"/>
          <w:sz w:val="22"/>
          <w:szCs w:val="22"/>
          <w:lang w:val="en-ZA"/>
        </w:rPr>
        <w:t xml:space="preserve"> of the Draft TLAB)</w:t>
      </w:r>
    </w:p>
    <w:p w14:paraId="7751207A" w14:textId="77777777" w:rsidR="0043332C" w:rsidRPr="00403DF5" w:rsidRDefault="0043332C" w:rsidP="00F72B4F">
      <w:pPr>
        <w:pStyle w:val="BodyText"/>
        <w:spacing w:line="271" w:lineRule="auto"/>
        <w:ind w:left="492" w:right="153"/>
        <w:jc w:val="both"/>
        <w:rPr>
          <w:rFonts w:ascii="Arial" w:hAnsi="Arial" w:cs="Arial"/>
          <w:lang w:val="en-ZA"/>
        </w:rPr>
      </w:pPr>
    </w:p>
    <w:p w14:paraId="114C562C" w14:textId="2552F4B0" w:rsidR="0043332C" w:rsidRPr="00403DF5" w:rsidRDefault="550038FD" w:rsidP="00403DF5">
      <w:pPr>
        <w:pStyle w:val="BodyText"/>
        <w:spacing w:line="271" w:lineRule="auto"/>
        <w:ind w:left="831" w:right="152"/>
        <w:jc w:val="both"/>
        <w:rPr>
          <w:rFonts w:ascii="Arial" w:hAnsi="Arial" w:cs="Arial"/>
          <w:iCs/>
          <w:sz w:val="22"/>
          <w:szCs w:val="22"/>
          <w:lang w:val="en-ZA"/>
        </w:rPr>
      </w:pPr>
      <w:bookmarkStart w:id="71" w:name="_Hlk147810797"/>
      <w:r w:rsidRPr="00403DF5">
        <w:rPr>
          <w:rFonts w:ascii="Arial" w:hAnsi="Arial" w:cs="Arial"/>
          <w:iCs/>
          <w:sz w:val="22"/>
          <w:szCs w:val="22"/>
          <w:lang w:val="en-ZA"/>
        </w:rPr>
        <w:t>In 2021, changes were made to the Act as part of the corporate income tax package to broaden the tax base and reduce the headline corporate income tax rate in a revenue neutral manner. One of these measures included strengthening the rules dealing with the limitation of interest deductions for debts owed to certain persons not subject to tax in section 23M of the Act.</w:t>
      </w:r>
    </w:p>
    <w:bookmarkEnd w:id="71"/>
    <w:p w14:paraId="38928FD4" w14:textId="77777777" w:rsidR="0043332C" w:rsidRPr="00403DF5" w:rsidRDefault="0043332C" w:rsidP="00403DF5">
      <w:pPr>
        <w:pStyle w:val="BodyText"/>
        <w:spacing w:line="271" w:lineRule="auto"/>
        <w:ind w:left="831" w:right="152"/>
        <w:jc w:val="both"/>
        <w:rPr>
          <w:rFonts w:ascii="Arial" w:hAnsi="Arial" w:cs="Arial"/>
          <w:iCs/>
          <w:sz w:val="22"/>
          <w:szCs w:val="22"/>
          <w:lang w:val="en-ZA"/>
        </w:rPr>
      </w:pPr>
    </w:p>
    <w:p w14:paraId="772E37AD" w14:textId="44242A31" w:rsidR="0043332C" w:rsidRPr="00403DF5" w:rsidRDefault="22305B5A" w:rsidP="00403DF5">
      <w:pPr>
        <w:pStyle w:val="BodyText"/>
        <w:spacing w:line="271" w:lineRule="auto"/>
        <w:ind w:left="831" w:right="152"/>
        <w:jc w:val="both"/>
        <w:rPr>
          <w:rFonts w:ascii="Arial" w:hAnsi="Arial" w:cs="Arial"/>
          <w:iCs/>
          <w:sz w:val="22"/>
          <w:szCs w:val="22"/>
          <w:lang w:val="en-ZA"/>
        </w:rPr>
      </w:pPr>
      <w:r w:rsidRPr="00403DF5">
        <w:rPr>
          <w:rFonts w:ascii="Arial" w:hAnsi="Arial" w:cs="Arial"/>
          <w:iCs/>
          <w:sz w:val="22"/>
          <w:szCs w:val="22"/>
          <w:lang w:val="en-ZA"/>
        </w:rPr>
        <w:t>In</w:t>
      </w:r>
      <w:r w:rsidR="550038FD" w:rsidRPr="00403DF5">
        <w:rPr>
          <w:rFonts w:ascii="Arial" w:hAnsi="Arial" w:cs="Arial"/>
          <w:iCs/>
          <w:sz w:val="22"/>
          <w:szCs w:val="22"/>
          <w:lang w:val="en-ZA"/>
        </w:rPr>
        <w:t xml:space="preserve"> 2023</w:t>
      </w:r>
      <w:r w:rsidR="7DCB75B3" w:rsidRPr="00403DF5">
        <w:rPr>
          <w:rFonts w:ascii="Arial" w:hAnsi="Arial" w:cs="Arial"/>
          <w:iCs/>
          <w:sz w:val="22"/>
          <w:szCs w:val="22"/>
          <w:lang w:val="en-ZA"/>
        </w:rPr>
        <w:t xml:space="preserve"> </w:t>
      </w:r>
      <w:r w:rsidR="1BA4F886" w:rsidRPr="00403DF5">
        <w:rPr>
          <w:rFonts w:ascii="Arial" w:hAnsi="Arial" w:cs="Arial"/>
          <w:iCs/>
          <w:sz w:val="22"/>
          <w:szCs w:val="22"/>
          <w:lang w:val="en-ZA"/>
        </w:rPr>
        <w:t>amendments</w:t>
      </w:r>
      <w:r w:rsidR="6585ECB2" w:rsidRPr="00403DF5">
        <w:rPr>
          <w:rFonts w:ascii="Arial" w:hAnsi="Arial" w:cs="Arial"/>
          <w:iCs/>
          <w:sz w:val="22"/>
          <w:szCs w:val="22"/>
          <w:lang w:val="en-ZA"/>
        </w:rPr>
        <w:t xml:space="preserve"> were made to section 23M to clarify</w:t>
      </w:r>
      <w:r w:rsidR="6A848E7F" w:rsidRPr="00403DF5">
        <w:rPr>
          <w:rFonts w:ascii="Arial" w:hAnsi="Arial" w:cs="Arial"/>
          <w:iCs/>
          <w:sz w:val="22"/>
          <w:szCs w:val="22"/>
          <w:lang w:val="en-ZA"/>
        </w:rPr>
        <w:t xml:space="preserve"> these rules. </w:t>
      </w:r>
      <w:r w:rsidR="4009DD8A" w:rsidRPr="00403DF5">
        <w:rPr>
          <w:rFonts w:ascii="Arial" w:hAnsi="Arial" w:cs="Arial"/>
          <w:iCs/>
          <w:sz w:val="22"/>
          <w:szCs w:val="22"/>
          <w:lang w:val="en-ZA"/>
        </w:rPr>
        <w:t>Government proposes further amendments to clarify that</w:t>
      </w:r>
      <w:r w:rsidR="43918026" w:rsidRPr="00403DF5">
        <w:rPr>
          <w:rFonts w:ascii="Arial" w:hAnsi="Arial" w:cs="Arial"/>
          <w:iCs/>
          <w:sz w:val="22"/>
          <w:szCs w:val="22"/>
          <w:lang w:val="en-ZA"/>
        </w:rPr>
        <w:t xml:space="preserve"> there is a deemed debt owed to a creditor in the following year of assessment even where the debt that gave rises to the interest has already been settled.  </w:t>
      </w:r>
    </w:p>
    <w:p w14:paraId="4B58C62F" w14:textId="57A93DBE" w:rsidR="5E2DC90D" w:rsidRPr="00403DF5" w:rsidRDefault="5E2DC90D" w:rsidP="003F111D">
      <w:pPr>
        <w:pStyle w:val="BodyText"/>
        <w:spacing w:line="271" w:lineRule="auto"/>
        <w:ind w:right="153"/>
        <w:jc w:val="both"/>
        <w:rPr>
          <w:rFonts w:ascii="Arial" w:hAnsi="Arial" w:cs="Arial"/>
          <w:lang w:val="en-ZA"/>
        </w:rPr>
      </w:pPr>
    </w:p>
    <w:p w14:paraId="6F204EB3" w14:textId="59132041" w:rsidR="00F72B4F" w:rsidRPr="00C75410" w:rsidRDefault="4124AE2F" w:rsidP="0D47019B">
      <w:pPr>
        <w:pStyle w:val="BodyText"/>
        <w:spacing w:line="271" w:lineRule="auto"/>
        <w:ind w:left="492" w:right="153"/>
        <w:jc w:val="both"/>
        <w:rPr>
          <w:rFonts w:ascii="Arial" w:hAnsi="Arial" w:cs="Arial"/>
          <w:i/>
          <w:sz w:val="22"/>
          <w:szCs w:val="22"/>
          <w:lang w:val="en-ZA"/>
        </w:rPr>
      </w:pPr>
      <w:r w:rsidRPr="00C75410">
        <w:rPr>
          <w:rFonts w:ascii="Arial" w:hAnsi="Arial" w:cs="Arial"/>
          <w:i/>
          <w:sz w:val="22"/>
          <w:szCs w:val="22"/>
          <w:lang w:val="en-ZA"/>
        </w:rPr>
        <w:t xml:space="preserve">Comment: </w:t>
      </w:r>
      <w:r w:rsidR="2BD910C8" w:rsidRPr="00403DF5">
        <w:rPr>
          <w:rFonts w:ascii="Arial" w:hAnsi="Arial" w:cs="Arial"/>
          <w:sz w:val="22"/>
          <w:szCs w:val="22"/>
          <w:lang w:val="en-ZA"/>
        </w:rPr>
        <w:t>The proposed</w:t>
      </w:r>
      <w:r w:rsidR="4C3A8A1D" w:rsidRPr="00403DF5">
        <w:rPr>
          <w:rFonts w:ascii="Arial" w:hAnsi="Arial" w:cs="Arial"/>
          <w:sz w:val="22"/>
          <w:szCs w:val="22"/>
          <w:lang w:val="en-ZA"/>
        </w:rPr>
        <w:t xml:space="preserve"> amendment deems </w:t>
      </w:r>
      <w:r w:rsidR="5298CD59" w:rsidRPr="00403DF5">
        <w:rPr>
          <w:rFonts w:ascii="Arial" w:hAnsi="Arial" w:cs="Arial"/>
          <w:sz w:val="22"/>
          <w:szCs w:val="22"/>
          <w:lang w:val="en-ZA"/>
        </w:rPr>
        <w:t xml:space="preserve">the </w:t>
      </w:r>
      <w:r w:rsidR="4C3A8A1D" w:rsidRPr="00403DF5">
        <w:rPr>
          <w:rFonts w:ascii="Arial" w:hAnsi="Arial" w:cs="Arial"/>
          <w:sz w:val="22"/>
          <w:szCs w:val="22"/>
          <w:lang w:val="en-ZA"/>
        </w:rPr>
        <w:t>two requirements</w:t>
      </w:r>
      <w:r w:rsidR="04F39AF6" w:rsidRPr="00403DF5">
        <w:rPr>
          <w:rFonts w:ascii="Arial" w:hAnsi="Arial" w:cs="Arial"/>
          <w:sz w:val="22"/>
          <w:szCs w:val="22"/>
          <w:lang w:val="en-ZA"/>
        </w:rPr>
        <w:t xml:space="preserve"> of s</w:t>
      </w:r>
      <w:r w:rsidR="1434D5AF" w:rsidRPr="00403DF5">
        <w:rPr>
          <w:rFonts w:ascii="Arial" w:hAnsi="Arial" w:cs="Arial"/>
          <w:sz w:val="22"/>
          <w:szCs w:val="22"/>
          <w:lang w:val="en-ZA"/>
        </w:rPr>
        <w:t>ection 23M</w:t>
      </w:r>
      <w:r w:rsidR="04F39AF6" w:rsidRPr="00403DF5">
        <w:rPr>
          <w:rFonts w:ascii="Arial" w:hAnsi="Arial" w:cs="Arial"/>
          <w:sz w:val="22"/>
          <w:szCs w:val="22"/>
          <w:lang w:val="en-ZA"/>
        </w:rPr>
        <w:t>(2) i.e</w:t>
      </w:r>
      <w:r w:rsidR="416A1C2C" w:rsidRPr="00403DF5">
        <w:rPr>
          <w:rFonts w:ascii="Arial" w:hAnsi="Arial" w:cs="Arial"/>
          <w:sz w:val="22"/>
          <w:szCs w:val="22"/>
          <w:lang w:val="en-ZA"/>
        </w:rPr>
        <w:t>. there</w:t>
      </w:r>
      <w:r w:rsidR="3020F22F" w:rsidRPr="00403DF5">
        <w:rPr>
          <w:rFonts w:ascii="Arial" w:hAnsi="Arial" w:cs="Arial"/>
          <w:sz w:val="22"/>
          <w:szCs w:val="22"/>
          <w:lang w:val="en-ZA"/>
        </w:rPr>
        <w:t xml:space="preserve"> must be a debt owed to a creditor and the creditor must be not subject to tax on the interest </w:t>
      </w:r>
      <w:r w:rsidR="4C3A8A1D" w:rsidRPr="00403DF5">
        <w:rPr>
          <w:rFonts w:ascii="Arial" w:hAnsi="Arial" w:cs="Arial"/>
          <w:sz w:val="22"/>
          <w:szCs w:val="22"/>
          <w:lang w:val="en-ZA"/>
        </w:rPr>
        <w:t>to continue notwithstanding the repayment of the debt. It is not clear whether the intention is also to deem the debt to be owing to a creditor in a controlling relationship.</w:t>
      </w:r>
      <w:r w:rsidR="4C3A8A1D" w:rsidRPr="00C75410">
        <w:rPr>
          <w:rFonts w:ascii="Arial" w:hAnsi="Arial" w:cs="Arial"/>
          <w:i/>
          <w:sz w:val="22"/>
          <w:szCs w:val="22"/>
          <w:lang w:val="en-ZA"/>
        </w:rPr>
        <w:t xml:space="preserve"> </w:t>
      </w:r>
    </w:p>
    <w:p w14:paraId="3EBDE564" w14:textId="74A7B1B6" w:rsidR="00F72B4F" w:rsidRPr="00403DF5" w:rsidRDefault="2BD910C8" w:rsidP="003F111D">
      <w:pPr>
        <w:pStyle w:val="BodyText"/>
        <w:spacing w:line="271" w:lineRule="auto"/>
        <w:ind w:left="492" w:right="153"/>
        <w:jc w:val="both"/>
        <w:rPr>
          <w:rFonts w:ascii="Arial" w:hAnsi="Arial" w:cs="Arial"/>
          <w:sz w:val="24"/>
          <w:szCs w:val="24"/>
          <w:lang w:val="en-ZA"/>
        </w:rPr>
      </w:pPr>
      <w:r w:rsidRPr="00403DF5">
        <w:rPr>
          <w:rFonts w:ascii="Arial" w:hAnsi="Arial" w:cs="Arial"/>
          <w:lang w:val="en-ZA"/>
        </w:rPr>
        <w:t xml:space="preserve">                                                                                                                        </w:t>
      </w:r>
    </w:p>
    <w:p w14:paraId="16160A64" w14:textId="702071B6" w:rsidR="00F72B4F" w:rsidRPr="003F111D" w:rsidRDefault="4124AE2F" w:rsidP="5BCFEF27">
      <w:pPr>
        <w:pStyle w:val="BodyText"/>
        <w:spacing w:line="271" w:lineRule="auto"/>
        <w:ind w:left="831" w:right="152"/>
        <w:jc w:val="both"/>
        <w:rPr>
          <w:rFonts w:ascii="Arial" w:hAnsi="Arial" w:cs="Arial"/>
          <w:i/>
          <w:sz w:val="22"/>
          <w:szCs w:val="22"/>
          <w:lang w:val="en-ZA"/>
        </w:rPr>
      </w:pPr>
      <w:r w:rsidRPr="00C75410">
        <w:rPr>
          <w:rFonts w:ascii="Arial" w:hAnsi="Arial" w:cs="Arial"/>
          <w:i/>
          <w:sz w:val="22"/>
          <w:szCs w:val="22"/>
          <w:lang w:val="en-ZA"/>
        </w:rPr>
        <w:t xml:space="preserve">Response: </w:t>
      </w:r>
      <w:r w:rsidR="207AD800" w:rsidRPr="00403DF5">
        <w:rPr>
          <w:rFonts w:ascii="Arial" w:hAnsi="Arial" w:cs="Arial"/>
          <w:sz w:val="22"/>
          <w:szCs w:val="22"/>
          <w:u w:val="single"/>
          <w:lang w:val="en-ZA"/>
        </w:rPr>
        <w:t>Not</w:t>
      </w:r>
      <w:r w:rsidR="0B7EE8B5" w:rsidRPr="00403DF5">
        <w:rPr>
          <w:rFonts w:ascii="Arial" w:hAnsi="Arial" w:cs="Arial"/>
          <w:sz w:val="22"/>
          <w:szCs w:val="22"/>
          <w:u w:val="single"/>
          <w:lang w:val="en-ZA"/>
        </w:rPr>
        <w:t>ed</w:t>
      </w:r>
      <w:r w:rsidR="0A3DEFFD" w:rsidRPr="00403DF5">
        <w:rPr>
          <w:rFonts w:ascii="Arial" w:hAnsi="Arial" w:cs="Arial"/>
          <w:sz w:val="22"/>
          <w:szCs w:val="22"/>
          <w:lang w:val="en-ZA"/>
        </w:rPr>
        <w:t xml:space="preserve">. </w:t>
      </w:r>
      <w:r w:rsidR="7A52BD40" w:rsidRPr="00403DF5">
        <w:rPr>
          <w:rFonts w:ascii="Arial" w:hAnsi="Arial" w:cs="Arial"/>
          <w:sz w:val="22"/>
          <w:szCs w:val="22"/>
          <w:lang w:val="en-ZA"/>
        </w:rPr>
        <w:t xml:space="preserve">The </w:t>
      </w:r>
      <w:r w:rsidR="40B0FDE1" w:rsidRPr="00403DF5">
        <w:rPr>
          <w:rFonts w:ascii="Arial" w:hAnsi="Arial" w:cs="Arial"/>
          <w:sz w:val="22"/>
          <w:szCs w:val="22"/>
          <w:lang w:val="en-ZA"/>
        </w:rPr>
        <w:t xml:space="preserve">intention of the </w:t>
      </w:r>
      <w:r w:rsidR="5336DA25" w:rsidRPr="00403DF5">
        <w:rPr>
          <w:rFonts w:ascii="Arial" w:hAnsi="Arial" w:cs="Arial"/>
          <w:sz w:val="22"/>
          <w:szCs w:val="22"/>
          <w:lang w:val="en-ZA"/>
        </w:rPr>
        <w:t>proposed amendment to subsection (4)</w:t>
      </w:r>
      <w:r w:rsidR="748C3B10" w:rsidRPr="00403DF5">
        <w:rPr>
          <w:rFonts w:ascii="Arial" w:hAnsi="Arial" w:cs="Arial"/>
          <w:sz w:val="22"/>
          <w:szCs w:val="22"/>
          <w:lang w:val="en-ZA"/>
        </w:rPr>
        <w:t xml:space="preserve"> is to cater for both instances where there is a controlling relationship and instances where there </w:t>
      </w:r>
      <w:r w:rsidR="33CB3A23" w:rsidRPr="00403DF5">
        <w:rPr>
          <w:rFonts w:ascii="Arial" w:hAnsi="Arial" w:cs="Arial"/>
          <w:sz w:val="22"/>
          <w:szCs w:val="22"/>
          <w:lang w:val="en-ZA"/>
        </w:rPr>
        <w:t xml:space="preserve">is </w:t>
      </w:r>
      <w:r w:rsidR="748C3B10" w:rsidRPr="00403DF5">
        <w:rPr>
          <w:rFonts w:ascii="Arial" w:hAnsi="Arial" w:cs="Arial"/>
          <w:sz w:val="22"/>
          <w:szCs w:val="22"/>
          <w:lang w:val="en-ZA"/>
        </w:rPr>
        <w:t>no controlling relationship</w:t>
      </w:r>
      <w:r w:rsidR="57F1E332" w:rsidRPr="003F111D">
        <w:rPr>
          <w:rFonts w:ascii="Arial" w:hAnsi="Arial" w:cs="Arial"/>
          <w:i/>
          <w:sz w:val="22"/>
          <w:szCs w:val="22"/>
          <w:lang w:val="en-ZA"/>
        </w:rPr>
        <w:t>.</w:t>
      </w:r>
    </w:p>
    <w:p w14:paraId="24F71DBA" w14:textId="127E843C" w:rsidR="006D450A" w:rsidRDefault="006D450A" w:rsidP="5BCFEF27">
      <w:pPr>
        <w:pStyle w:val="BodyText"/>
        <w:spacing w:line="271" w:lineRule="auto"/>
        <w:ind w:left="831" w:right="152"/>
        <w:jc w:val="both"/>
        <w:rPr>
          <w:i/>
          <w:iCs/>
          <w:lang w:val="en-ZA"/>
        </w:rPr>
      </w:pPr>
    </w:p>
    <w:p w14:paraId="6E2462ED" w14:textId="7DE4107A" w:rsidR="251BE3F0" w:rsidRPr="003F111D" w:rsidRDefault="251BE3F0" w:rsidP="00403DF5">
      <w:pPr>
        <w:pStyle w:val="BodyText"/>
        <w:spacing w:line="271" w:lineRule="auto"/>
        <w:ind w:right="152"/>
        <w:jc w:val="both"/>
        <w:rPr>
          <w:rFonts w:ascii="Arial"/>
          <w:lang w:val="en-ZA"/>
        </w:rPr>
      </w:pPr>
    </w:p>
    <w:p w14:paraId="365015FF" w14:textId="6F84F020" w:rsidR="11ABBAB4" w:rsidRPr="003F111D" w:rsidRDefault="294FFB73" w:rsidP="003F111D">
      <w:pPr>
        <w:pStyle w:val="Heading3"/>
        <w:numPr>
          <w:ilvl w:val="1"/>
          <w:numId w:val="37"/>
        </w:numPr>
        <w:tabs>
          <w:tab w:val="left" w:pos="961"/>
        </w:tabs>
        <w:spacing w:before="0" w:line="259" w:lineRule="auto"/>
        <w:rPr>
          <w:sz w:val="22"/>
          <w:szCs w:val="22"/>
          <w:lang w:val="en-ZA"/>
        </w:rPr>
      </w:pPr>
      <w:bookmarkStart w:id="72" w:name="_Toc189212114"/>
      <w:r w:rsidRPr="003F111D">
        <w:rPr>
          <w:sz w:val="22"/>
          <w:szCs w:val="22"/>
          <w:lang w:val="en-ZA"/>
        </w:rPr>
        <w:t xml:space="preserve">Third-party backed shares: </w:t>
      </w:r>
      <w:r w:rsidR="13424657" w:rsidRPr="003F111D">
        <w:rPr>
          <w:sz w:val="22"/>
          <w:szCs w:val="22"/>
          <w:lang w:val="en-ZA"/>
        </w:rPr>
        <w:t>ext</w:t>
      </w:r>
      <w:r w:rsidR="7752AFC6" w:rsidRPr="003F111D">
        <w:rPr>
          <w:sz w:val="22"/>
          <w:szCs w:val="22"/>
          <w:lang w:val="en-ZA"/>
        </w:rPr>
        <w:t xml:space="preserve">ending exclusions to the ownership requirement in section 8EA </w:t>
      </w:r>
      <w:r w:rsidR="13424657" w:rsidRPr="003F111D">
        <w:rPr>
          <w:sz w:val="22"/>
          <w:szCs w:val="22"/>
          <w:lang w:val="en-ZA"/>
        </w:rPr>
        <w:t>ending the definition of “enforcement right” to a connected person in section 8EA</w:t>
      </w:r>
      <w:bookmarkEnd w:id="72"/>
    </w:p>
    <w:p w14:paraId="77287190" w14:textId="5FEA283E" w:rsidR="61289D9D" w:rsidRPr="00797C3A" w:rsidRDefault="61289D9D" w:rsidP="003F111D">
      <w:pPr>
        <w:pStyle w:val="BodyText"/>
        <w:spacing w:before="158"/>
        <w:ind w:left="555"/>
        <w:jc w:val="both"/>
        <w:rPr>
          <w:rFonts w:ascii="Arial" w:hAnsi="Arial" w:cs="Arial"/>
          <w:sz w:val="22"/>
          <w:szCs w:val="22"/>
          <w:lang w:val="en-ZA"/>
        </w:rPr>
      </w:pPr>
      <w:r w:rsidRPr="00403DF5">
        <w:rPr>
          <w:rFonts w:ascii="Arial" w:hAnsi="Arial" w:cs="Arial"/>
          <w:sz w:val="22"/>
          <w:szCs w:val="22"/>
          <w:lang w:val="en-ZA"/>
        </w:rPr>
        <w:t xml:space="preserve">(Main reference:  Section 8EA of the Income Tax Act: Clause 6 of the Draft TLAB)  </w:t>
      </w:r>
    </w:p>
    <w:p w14:paraId="724E53A2" w14:textId="0898A202" w:rsidR="251BE3F0" w:rsidRPr="00403DF5" w:rsidRDefault="251BE3F0" w:rsidP="251BE3F0">
      <w:pPr>
        <w:pStyle w:val="BodyText"/>
        <w:spacing w:line="271" w:lineRule="auto"/>
        <w:ind w:right="152"/>
        <w:jc w:val="both"/>
        <w:rPr>
          <w:rFonts w:ascii="Arial" w:eastAsiaTheme="minorEastAsia" w:hAnsi="Arial" w:cs="Arial"/>
          <w:b/>
          <w:bCs/>
          <w:lang w:val="en-ZA"/>
        </w:rPr>
      </w:pPr>
    </w:p>
    <w:p w14:paraId="15C38453" w14:textId="77777777" w:rsidR="00E70D6B" w:rsidRPr="00403DF5" w:rsidRDefault="00E70D6B" w:rsidP="00403DF5">
      <w:pPr>
        <w:pStyle w:val="BodyText"/>
        <w:spacing w:line="271" w:lineRule="auto"/>
        <w:ind w:left="831" w:right="152"/>
        <w:jc w:val="both"/>
        <w:rPr>
          <w:rFonts w:ascii="Arial" w:hAnsi="Arial" w:cs="Arial"/>
          <w:iCs/>
          <w:sz w:val="22"/>
          <w:szCs w:val="22"/>
          <w:lang w:val="en-ZA"/>
        </w:rPr>
      </w:pPr>
      <w:r w:rsidRPr="00403DF5">
        <w:rPr>
          <w:rFonts w:ascii="Arial" w:hAnsi="Arial" w:cs="Arial"/>
          <w:iCs/>
          <w:sz w:val="22"/>
          <w:szCs w:val="22"/>
          <w:lang w:val="en-ZA"/>
        </w:rPr>
        <w:t>In 2023, amendments were made to the qualifying purpose provisions to clarify the ownership requirement for the equity shares in the operating company by the person that acquired those equity shares at the time of the receipt or accrual of any dividend or foreign dividend, subject to certain exclusions.</w:t>
      </w:r>
    </w:p>
    <w:p w14:paraId="3572ABBF" w14:textId="77777777" w:rsidR="00E70D6B" w:rsidRPr="00403DF5" w:rsidRDefault="00E70D6B" w:rsidP="00E70D6B">
      <w:pPr>
        <w:pStyle w:val="BodyText"/>
        <w:spacing w:before="1" w:line="271" w:lineRule="auto"/>
        <w:ind w:left="492" w:right="152"/>
        <w:jc w:val="both"/>
        <w:rPr>
          <w:rFonts w:ascii="Arial" w:hAnsi="Arial" w:cs="Arial"/>
          <w:sz w:val="22"/>
          <w:szCs w:val="22"/>
          <w:lang w:val="en-ZA"/>
        </w:rPr>
      </w:pPr>
    </w:p>
    <w:p w14:paraId="08B82EDC" w14:textId="5D057552" w:rsidR="00E70D6B" w:rsidRPr="00403DF5" w:rsidRDefault="00E70D6B" w:rsidP="00403DF5">
      <w:pPr>
        <w:pStyle w:val="BodyText"/>
        <w:spacing w:line="271" w:lineRule="auto"/>
        <w:ind w:left="831" w:right="152"/>
        <w:jc w:val="both"/>
        <w:rPr>
          <w:rFonts w:ascii="Arial" w:hAnsi="Arial" w:cs="Arial"/>
          <w:iCs/>
          <w:sz w:val="22"/>
          <w:szCs w:val="22"/>
          <w:lang w:val="en-ZA"/>
        </w:rPr>
      </w:pPr>
      <w:r w:rsidRPr="00403DF5">
        <w:rPr>
          <w:rFonts w:ascii="Arial" w:hAnsi="Arial" w:cs="Arial"/>
          <w:iCs/>
          <w:sz w:val="22"/>
          <w:szCs w:val="22"/>
          <w:lang w:val="en-ZA"/>
        </w:rPr>
        <w:t>The exclusions include a provision that the ownership requirement will not apply if that equity share was a listed share and was substituted for another listed share in terms of an arrangement that is announced and released as a corporate action on a South African regulated stock exchange.</w:t>
      </w:r>
    </w:p>
    <w:p w14:paraId="71B089B5" w14:textId="77777777" w:rsidR="00E70D6B" w:rsidRPr="00403DF5" w:rsidRDefault="00E70D6B" w:rsidP="00E70D6B">
      <w:pPr>
        <w:pStyle w:val="BodyText"/>
        <w:spacing w:before="1" w:line="271" w:lineRule="auto"/>
        <w:ind w:left="492" w:right="152"/>
        <w:jc w:val="both"/>
        <w:rPr>
          <w:rFonts w:ascii="Arial" w:hAnsi="Arial" w:cs="Arial"/>
          <w:lang w:val="en-ZA"/>
        </w:rPr>
      </w:pPr>
    </w:p>
    <w:p w14:paraId="1CEA6512" w14:textId="43C82E99" w:rsidR="00E70D6B" w:rsidRPr="00403DF5" w:rsidRDefault="00E70D6B" w:rsidP="00944EE0">
      <w:pPr>
        <w:pStyle w:val="BodyText"/>
        <w:numPr>
          <w:ilvl w:val="0"/>
          <w:numId w:val="68"/>
        </w:numPr>
        <w:spacing w:before="1" w:line="271" w:lineRule="auto"/>
        <w:ind w:right="152"/>
        <w:jc w:val="both"/>
        <w:rPr>
          <w:rFonts w:ascii="Arial" w:hAnsi="Arial" w:cs="Arial"/>
          <w:sz w:val="22"/>
          <w:szCs w:val="22"/>
          <w:lang w:val="en-ZA"/>
        </w:rPr>
      </w:pPr>
      <w:r w:rsidRPr="00403DF5">
        <w:rPr>
          <w:rFonts w:ascii="Arial" w:hAnsi="Arial" w:cs="Arial"/>
          <w:sz w:val="22"/>
          <w:szCs w:val="22"/>
          <w:lang w:val="en-ZA"/>
        </w:rPr>
        <w:t>It is proposed that the ownership requirement exclusions be extended to include corporate actions relating to listed share substitutions on a recognised exchange in a country other than South Africa.</w:t>
      </w:r>
    </w:p>
    <w:p w14:paraId="3037791A" w14:textId="77777777" w:rsidR="00E70D6B" w:rsidRPr="00403DF5" w:rsidRDefault="00E70D6B" w:rsidP="00E70D6B">
      <w:pPr>
        <w:pStyle w:val="BodyText"/>
        <w:spacing w:before="1" w:line="271" w:lineRule="auto"/>
        <w:ind w:left="492" w:right="152"/>
        <w:jc w:val="both"/>
        <w:rPr>
          <w:rFonts w:ascii="Arial" w:hAnsi="Arial" w:cs="Arial"/>
          <w:lang w:val="en-ZA"/>
        </w:rPr>
      </w:pPr>
    </w:p>
    <w:p w14:paraId="67343163" w14:textId="713F9B58" w:rsidR="00E70D6B" w:rsidRPr="00403DF5" w:rsidRDefault="00E70D6B" w:rsidP="00944EE0">
      <w:pPr>
        <w:pStyle w:val="BodyText"/>
        <w:numPr>
          <w:ilvl w:val="0"/>
          <w:numId w:val="68"/>
        </w:numPr>
        <w:spacing w:before="1" w:line="271" w:lineRule="auto"/>
        <w:ind w:right="152"/>
        <w:jc w:val="both"/>
        <w:rPr>
          <w:rFonts w:ascii="Arial" w:hAnsi="Arial" w:cs="Arial"/>
          <w:sz w:val="22"/>
          <w:szCs w:val="22"/>
          <w:lang w:val="en-ZA"/>
        </w:rPr>
      </w:pPr>
      <w:r w:rsidRPr="00403DF5">
        <w:rPr>
          <w:rFonts w:ascii="Arial" w:hAnsi="Arial" w:cs="Arial"/>
          <w:sz w:val="22"/>
          <w:szCs w:val="22"/>
          <w:lang w:val="en-ZA"/>
        </w:rPr>
        <w:t xml:space="preserve">It has come to government’s attention that further clarity is required on whether settlement of any dividends, foreign dividends or interest accrued in respect of a preference share that are payable also falls within the ambit of its allowable redemption. </w:t>
      </w:r>
    </w:p>
    <w:p w14:paraId="72EEC924" w14:textId="77777777" w:rsidR="00E70D6B" w:rsidRPr="00403DF5" w:rsidRDefault="00E70D6B" w:rsidP="00E70D6B">
      <w:pPr>
        <w:pStyle w:val="BodyText"/>
        <w:spacing w:before="1" w:line="271" w:lineRule="auto"/>
        <w:ind w:left="492" w:right="152"/>
        <w:jc w:val="both"/>
        <w:rPr>
          <w:rFonts w:ascii="Arial" w:hAnsi="Arial" w:cs="Arial"/>
          <w:lang w:val="en-ZA"/>
        </w:rPr>
      </w:pPr>
    </w:p>
    <w:p w14:paraId="4BEDC193" w14:textId="06F22080" w:rsidR="61289D9D" w:rsidRPr="00403DF5" w:rsidRDefault="00E70D6B" w:rsidP="00944EE0">
      <w:pPr>
        <w:pStyle w:val="BodyText"/>
        <w:numPr>
          <w:ilvl w:val="0"/>
          <w:numId w:val="68"/>
        </w:numPr>
        <w:spacing w:before="1" w:line="271" w:lineRule="auto"/>
        <w:ind w:right="152"/>
        <w:jc w:val="both"/>
        <w:rPr>
          <w:rFonts w:ascii="Arial" w:eastAsiaTheme="minorEastAsia" w:hAnsi="Arial" w:cs="Arial"/>
          <w:lang w:val="en-ZA"/>
        </w:rPr>
      </w:pPr>
      <w:r w:rsidRPr="00403DF5">
        <w:rPr>
          <w:rFonts w:ascii="Arial" w:hAnsi="Arial" w:cs="Arial"/>
          <w:sz w:val="22"/>
          <w:szCs w:val="22"/>
          <w:lang w:val="en-ZA"/>
        </w:rPr>
        <w:t>It is proposed that the legislation be amended to include the settlement of any amounts of dividends, foreign dividends or interest accrued in respect of the redemption of a preference share</w:t>
      </w:r>
      <w:r w:rsidRPr="00403DF5">
        <w:rPr>
          <w:rFonts w:ascii="Arial" w:hAnsi="Arial" w:cs="Arial"/>
          <w:lang w:val="en-ZA"/>
        </w:rPr>
        <w:t xml:space="preserve">. </w:t>
      </w:r>
    </w:p>
    <w:p w14:paraId="0D4BC2A2" w14:textId="5400EFE4" w:rsidR="251BE3F0" w:rsidRPr="00403DF5" w:rsidRDefault="251BE3F0" w:rsidP="0038739C">
      <w:pPr>
        <w:pStyle w:val="BodyText"/>
        <w:spacing w:line="271" w:lineRule="auto"/>
        <w:ind w:right="152"/>
        <w:jc w:val="both"/>
        <w:rPr>
          <w:rFonts w:ascii="Arial" w:eastAsiaTheme="minorEastAsia" w:hAnsi="Arial" w:cs="Arial"/>
          <w:lang w:val="en-ZA"/>
        </w:rPr>
      </w:pPr>
    </w:p>
    <w:p w14:paraId="3B37CF0D" w14:textId="6E2AD1FA" w:rsidR="4E7C3701" w:rsidRPr="00403DF5" w:rsidRDefault="4E7C3701" w:rsidP="003F111D">
      <w:pPr>
        <w:pStyle w:val="BodyText"/>
        <w:spacing w:line="271" w:lineRule="auto"/>
        <w:ind w:left="492" w:right="153"/>
        <w:jc w:val="both"/>
        <w:rPr>
          <w:rFonts w:ascii="Arial" w:hAnsi="Arial" w:cs="Arial"/>
          <w:sz w:val="22"/>
          <w:szCs w:val="22"/>
          <w:lang w:val="en-ZA"/>
        </w:rPr>
      </w:pPr>
      <w:r w:rsidRPr="00797C3A">
        <w:rPr>
          <w:rFonts w:ascii="Arial" w:hAnsi="Arial" w:cs="Arial"/>
          <w:i/>
          <w:sz w:val="22"/>
          <w:szCs w:val="22"/>
          <w:lang w:val="en-ZA"/>
        </w:rPr>
        <w:t xml:space="preserve">Comment: </w:t>
      </w:r>
      <w:r w:rsidR="46D8E94F" w:rsidRPr="00403DF5">
        <w:rPr>
          <w:rFonts w:ascii="Arial" w:hAnsi="Arial" w:cs="Arial"/>
          <w:sz w:val="22"/>
          <w:szCs w:val="22"/>
          <w:lang w:val="en-ZA"/>
        </w:rPr>
        <w:t>T</w:t>
      </w:r>
      <w:r w:rsidR="6F2C1D65" w:rsidRPr="00403DF5">
        <w:rPr>
          <w:rFonts w:ascii="Arial" w:hAnsi="Arial" w:cs="Arial"/>
          <w:sz w:val="22"/>
          <w:szCs w:val="22"/>
          <w:lang w:val="en-ZA"/>
        </w:rPr>
        <w:t>he draft Explanatory Memorandum notes that the</w:t>
      </w:r>
      <w:r w:rsidR="799FA4AD" w:rsidRPr="00403DF5">
        <w:rPr>
          <w:rFonts w:ascii="Arial" w:hAnsi="Arial" w:cs="Arial"/>
          <w:sz w:val="22"/>
          <w:szCs w:val="22"/>
          <w:lang w:val="en-ZA"/>
        </w:rPr>
        <w:t xml:space="preserve"> extension of </w:t>
      </w:r>
      <w:r w:rsidR="6F2C1D65" w:rsidRPr="00403DF5">
        <w:rPr>
          <w:rFonts w:ascii="Arial" w:hAnsi="Arial" w:cs="Arial"/>
          <w:sz w:val="22"/>
          <w:szCs w:val="22"/>
          <w:lang w:val="en-ZA"/>
        </w:rPr>
        <w:t xml:space="preserve">exclusions should apply to the settlement of accrued </w:t>
      </w:r>
      <w:r w:rsidR="25F0D01B" w:rsidRPr="00403DF5">
        <w:rPr>
          <w:rFonts w:ascii="Arial" w:hAnsi="Arial" w:cs="Arial"/>
          <w:sz w:val="22"/>
          <w:szCs w:val="22"/>
          <w:lang w:val="en-ZA"/>
        </w:rPr>
        <w:t xml:space="preserve">dividends, foreign dividends or </w:t>
      </w:r>
      <w:r w:rsidR="6F2C1D65" w:rsidRPr="00403DF5">
        <w:rPr>
          <w:rFonts w:ascii="Arial" w:hAnsi="Arial" w:cs="Arial"/>
          <w:sz w:val="22"/>
          <w:szCs w:val="22"/>
          <w:lang w:val="en-ZA"/>
        </w:rPr>
        <w:t xml:space="preserve">interest, </w:t>
      </w:r>
      <w:r w:rsidR="281CAAF9" w:rsidRPr="00403DF5">
        <w:rPr>
          <w:rFonts w:ascii="Arial" w:hAnsi="Arial" w:cs="Arial"/>
          <w:sz w:val="22"/>
          <w:szCs w:val="22"/>
          <w:lang w:val="en-ZA"/>
        </w:rPr>
        <w:t xml:space="preserve">however </w:t>
      </w:r>
      <w:r w:rsidR="6F2C1D65" w:rsidRPr="00403DF5">
        <w:rPr>
          <w:rFonts w:ascii="Arial" w:hAnsi="Arial" w:cs="Arial"/>
          <w:sz w:val="22"/>
          <w:szCs w:val="22"/>
          <w:lang w:val="en-ZA"/>
        </w:rPr>
        <w:t>the actual proposed wording in the 2024 D</w:t>
      </w:r>
      <w:r w:rsidR="5CAF7186" w:rsidRPr="00403DF5">
        <w:rPr>
          <w:rFonts w:ascii="Arial" w:hAnsi="Arial" w:cs="Arial"/>
          <w:sz w:val="22"/>
          <w:szCs w:val="22"/>
          <w:lang w:val="en-ZA"/>
        </w:rPr>
        <w:t xml:space="preserve">raft </w:t>
      </w:r>
      <w:r w:rsidR="6F2C1D65" w:rsidRPr="00403DF5">
        <w:rPr>
          <w:rFonts w:ascii="Arial" w:hAnsi="Arial" w:cs="Arial"/>
          <w:sz w:val="22"/>
          <w:szCs w:val="22"/>
          <w:lang w:val="en-ZA"/>
        </w:rPr>
        <w:t>TLAB refers only to the settlement of any amount of dividends or foreign dividends.</w:t>
      </w:r>
    </w:p>
    <w:p w14:paraId="4A58974D" w14:textId="77777777" w:rsidR="0038739C" w:rsidRPr="003F111D" w:rsidRDefault="0038739C" w:rsidP="0038739C">
      <w:pPr>
        <w:pStyle w:val="BodyText"/>
        <w:spacing w:line="271" w:lineRule="auto"/>
        <w:ind w:left="831" w:right="152"/>
        <w:jc w:val="both"/>
        <w:rPr>
          <w:rFonts w:ascii="Arial"/>
          <w:i/>
          <w:iCs/>
          <w:lang w:val="en-ZA"/>
        </w:rPr>
      </w:pPr>
    </w:p>
    <w:p w14:paraId="00E8A383" w14:textId="7D629770" w:rsidR="0038739C" w:rsidRPr="00403DF5" w:rsidRDefault="0038739C" w:rsidP="0038739C">
      <w:pPr>
        <w:pStyle w:val="BodyText"/>
        <w:spacing w:line="271" w:lineRule="auto"/>
        <w:ind w:left="831" w:right="152"/>
        <w:jc w:val="both"/>
        <w:rPr>
          <w:rFonts w:ascii="Arial" w:hAnsi="Arial" w:cs="Arial"/>
          <w:sz w:val="22"/>
          <w:szCs w:val="22"/>
          <w:lang w:val="en-ZA"/>
        </w:rPr>
      </w:pPr>
      <w:r w:rsidRPr="003F111D">
        <w:rPr>
          <w:rFonts w:ascii="Arial" w:hAnsi="Arial" w:cs="Arial"/>
          <w:i/>
          <w:sz w:val="22"/>
          <w:szCs w:val="22"/>
          <w:lang w:val="en-ZA"/>
        </w:rPr>
        <w:t xml:space="preserve">Response: </w:t>
      </w:r>
      <w:r w:rsidRPr="00403DF5">
        <w:rPr>
          <w:rFonts w:ascii="Arial" w:hAnsi="Arial" w:cs="Arial"/>
          <w:sz w:val="22"/>
          <w:szCs w:val="22"/>
          <w:u w:val="single"/>
          <w:lang w:val="en-ZA"/>
        </w:rPr>
        <w:t>Accepted</w:t>
      </w:r>
      <w:r w:rsidRPr="00403DF5">
        <w:rPr>
          <w:rFonts w:ascii="Arial" w:hAnsi="Arial" w:cs="Arial"/>
          <w:sz w:val="22"/>
          <w:szCs w:val="22"/>
          <w:lang w:val="en-ZA"/>
        </w:rPr>
        <w:t>. The draft Explanatory Memorandum will be corrected by removing the reference to interest.</w:t>
      </w:r>
    </w:p>
    <w:p w14:paraId="32587F7E" w14:textId="5086708B" w:rsidR="251BE3F0" w:rsidRPr="003F111D" w:rsidRDefault="251BE3F0" w:rsidP="251BE3F0">
      <w:pPr>
        <w:pStyle w:val="BodyText"/>
        <w:spacing w:line="271" w:lineRule="auto"/>
        <w:ind w:right="152"/>
        <w:jc w:val="both"/>
        <w:rPr>
          <w:rFonts w:ascii="Arial"/>
          <w:lang w:val="en-ZA"/>
        </w:rPr>
      </w:pPr>
    </w:p>
    <w:p w14:paraId="26C831FB" w14:textId="05E60C87" w:rsidR="43E53C77" w:rsidRPr="003F111D" w:rsidRDefault="43E53C77" w:rsidP="003F111D">
      <w:pPr>
        <w:pStyle w:val="BodyText"/>
        <w:spacing w:line="271" w:lineRule="auto"/>
        <w:ind w:left="492" w:right="153"/>
        <w:jc w:val="both"/>
        <w:rPr>
          <w:rFonts w:ascii="Arial" w:hAnsi="Arial" w:cs="Arial"/>
          <w:i/>
          <w:sz w:val="22"/>
          <w:szCs w:val="22"/>
          <w:lang w:val="en-ZA"/>
        </w:rPr>
      </w:pPr>
      <w:r w:rsidRPr="003F111D">
        <w:rPr>
          <w:rFonts w:ascii="Arial" w:hAnsi="Arial" w:cs="Arial"/>
          <w:i/>
          <w:sz w:val="22"/>
          <w:szCs w:val="22"/>
          <w:lang w:val="en-ZA"/>
        </w:rPr>
        <w:t xml:space="preserve">Comment: </w:t>
      </w:r>
      <w:r w:rsidR="32075126" w:rsidRPr="00403DF5">
        <w:rPr>
          <w:rFonts w:ascii="Arial" w:hAnsi="Arial" w:cs="Arial"/>
          <w:sz w:val="22"/>
          <w:szCs w:val="22"/>
          <w:lang w:val="en-ZA"/>
        </w:rPr>
        <w:t>Because</w:t>
      </w:r>
      <w:r w:rsidRPr="00403DF5">
        <w:rPr>
          <w:rFonts w:ascii="Arial" w:hAnsi="Arial" w:cs="Arial"/>
          <w:sz w:val="22"/>
          <w:szCs w:val="22"/>
          <w:lang w:val="en-ZA"/>
        </w:rPr>
        <w:t xml:space="preserve"> the proposed amendment seeks to clarify that the redemption of the preference share in terms of the ownership requirement </w:t>
      </w:r>
      <w:r w:rsidR="2E4E21C2" w:rsidRPr="00403DF5">
        <w:rPr>
          <w:rFonts w:ascii="Arial" w:hAnsi="Arial" w:cs="Arial"/>
          <w:sz w:val="22"/>
          <w:szCs w:val="22"/>
          <w:lang w:val="en-ZA"/>
        </w:rPr>
        <w:t xml:space="preserve">test </w:t>
      </w:r>
      <w:r w:rsidRPr="00403DF5">
        <w:rPr>
          <w:rFonts w:ascii="Arial" w:hAnsi="Arial" w:cs="Arial"/>
          <w:sz w:val="22"/>
          <w:szCs w:val="22"/>
          <w:lang w:val="en-ZA"/>
        </w:rPr>
        <w:t>(effective 1 Jan 2024) includes the settlement of any amount of dividends or foreign dividends accrued i</w:t>
      </w:r>
      <w:r w:rsidR="115AABA1" w:rsidRPr="00403DF5">
        <w:rPr>
          <w:rFonts w:ascii="Arial" w:hAnsi="Arial" w:cs="Arial"/>
          <w:sz w:val="22"/>
          <w:szCs w:val="22"/>
          <w:lang w:val="en-ZA"/>
        </w:rPr>
        <w:t>n</w:t>
      </w:r>
      <w:r w:rsidRPr="00403DF5">
        <w:rPr>
          <w:rFonts w:ascii="Arial" w:hAnsi="Arial" w:cs="Arial"/>
          <w:sz w:val="22"/>
          <w:szCs w:val="22"/>
          <w:lang w:val="en-ZA"/>
        </w:rPr>
        <w:t xml:space="preserve"> respect of that preference share, th</w:t>
      </w:r>
      <w:r w:rsidR="5044CB2C" w:rsidRPr="00403DF5">
        <w:rPr>
          <w:rFonts w:ascii="Arial" w:hAnsi="Arial" w:cs="Arial"/>
          <w:sz w:val="22"/>
          <w:szCs w:val="22"/>
          <w:lang w:val="en-ZA"/>
        </w:rPr>
        <w:t>is proposed amendment's</w:t>
      </w:r>
      <w:r w:rsidRPr="00403DF5">
        <w:rPr>
          <w:rFonts w:ascii="Arial" w:hAnsi="Arial" w:cs="Arial"/>
          <w:sz w:val="22"/>
          <w:szCs w:val="22"/>
          <w:lang w:val="en-ZA"/>
        </w:rPr>
        <w:t xml:space="preserve"> effective date should also be 1 January 2024</w:t>
      </w:r>
      <w:r w:rsidR="5B8A6F27" w:rsidRPr="00403DF5">
        <w:rPr>
          <w:rFonts w:ascii="Arial" w:hAnsi="Arial" w:cs="Arial"/>
          <w:sz w:val="22"/>
          <w:szCs w:val="22"/>
          <w:lang w:val="en-ZA"/>
        </w:rPr>
        <w:t>.</w:t>
      </w:r>
    </w:p>
    <w:p w14:paraId="0EBBA800" w14:textId="09BF41D4" w:rsidR="251BE3F0" w:rsidRPr="003F111D" w:rsidRDefault="251BE3F0" w:rsidP="251BE3F0">
      <w:pPr>
        <w:pStyle w:val="BodyText"/>
        <w:spacing w:line="271" w:lineRule="auto"/>
        <w:ind w:right="152"/>
        <w:jc w:val="both"/>
        <w:rPr>
          <w:sz w:val="22"/>
          <w:szCs w:val="22"/>
          <w:lang w:val="en-ZA"/>
        </w:rPr>
      </w:pPr>
    </w:p>
    <w:p w14:paraId="4ECCE44A" w14:textId="7AD2EA13" w:rsidR="5B8A6F27" w:rsidRPr="003F111D" w:rsidRDefault="5B8A6F27" w:rsidP="003F111D">
      <w:pPr>
        <w:pStyle w:val="BodyText"/>
        <w:spacing w:line="271" w:lineRule="auto"/>
        <w:ind w:left="831" w:right="152"/>
        <w:jc w:val="both"/>
        <w:rPr>
          <w:rFonts w:ascii="Arial" w:hAnsi="Arial" w:cs="Arial"/>
          <w:i/>
          <w:sz w:val="22"/>
          <w:szCs w:val="22"/>
          <w:lang w:val="en-ZA"/>
        </w:rPr>
      </w:pPr>
      <w:r w:rsidRPr="003F111D">
        <w:rPr>
          <w:rFonts w:ascii="Arial" w:hAnsi="Arial" w:cs="Arial"/>
          <w:i/>
          <w:sz w:val="22"/>
          <w:szCs w:val="22"/>
          <w:lang w:val="en-ZA"/>
        </w:rPr>
        <w:t xml:space="preserve">Response: </w:t>
      </w:r>
      <w:r w:rsidRPr="00403DF5">
        <w:rPr>
          <w:rFonts w:ascii="Arial" w:hAnsi="Arial" w:cs="Arial"/>
          <w:sz w:val="22"/>
          <w:szCs w:val="22"/>
          <w:u w:val="single"/>
          <w:lang w:val="en-ZA"/>
        </w:rPr>
        <w:t>Accepted</w:t>
      </w:r>
      <w:r w:rsidRPr="00403DF5">
        <w:rPr>
          <w:rFonts w:ascii="Arial" w:hAnsi="Arial" w:cs="Arial"/>
          <w:sz w:val="22"/>
          <w:szCs w:val="22"/>
          <w:lang w:val="en-ZA"/>
        </w:rPr>
        <w:t xml:space="preserve">. </w:t>
      </w:r>
      <w:r w:rsidR="6F6B3BB4" w:rsidRPr="00403DF5">
        <w:rPr>
          <w:rFonts w:ascii="Arial" w:hAnsi="Arial" w:cs="Arial"/>
          <w:sz w:val="22"/>
          <w:szCs w:val="22"/>
          <w:lang w:val="en-ZA"/>
        </w:rPr>
        <w:t>The effective</w:t>
      </w:r>
      <w:r w:rsidRPr="00403DF5">
        <w:rPr>
          <w:rFonts w:ascii="Arial" w:hAnsi="Arial" w:cs="Arial"/>
          <w:sz w:val="22"/>
          <w:szCs w:val="22"/>
          <w:lang w:val="en-ZA"/>
        </w:rPr>
        <w:t xml:space="preserve"> date will be amended to </w:t>
      </w:r>
      <w:r w:rsidR="031AAFA5" w:rsidRPr="00403DF5">
        <w:rPr>
          <w:rFonts w:ascii="Arial" w:hAnsi="Arial" w:cs="Arial"/>
          <w:sz w:val="22"/>
          <w:szCs w:val="22"/>
          <w:lang w:val="en-ZA"/>
        </w:rPr>
        <w:t>1 January 2024 to provide clarity</w:t>
      </w:r>
      <w:r w:rsidR="031AAFA5" w:rsidRPr="003F111D">
        <w:rPr>
          <w:rFonts w:ascii="Arial" w:hAnsi="Arial" w:cs="Arial"/>
          <w:i/>
          <w:sz w:val="22"/>
          <w:szCs w:val="22"/>
          <w:lang w:val="en-ZA"/>
        </w:rPr>
        <w:t>.</w:t>
      </w:r>
    </w:p>
    <w:p w14:paraId="633A7067" w14:textId="250BF669" w:rsidR="251BE3F0" w:rsidRPr="003F111D" w:rsidRDefault="251BE3F0" w:rsidP="251BE3F0">
      <w:pPr>
        <w:pStyle w:val="BodyText"/>
        <w:spacing w:line="271" w:lineRule="auto"/>
        <w:ind w:right="152"/>
        <w:jc w:val="both"/>
        <w:rPr>
          <w:lang w:val="en-ZA"/>
        </w:rPr>
      </w:pPr>
    </w:p>
    <w:p w14:paraId="31E0B709" w14:textId="53FB6043" w:rsidR="12167183" w:rsidRPr="003F111D" w:rsidRDefault="12167183" w:rsidP="003F111D">
      <w:pPr>
        <w:pStyle w:val="BodyText"/>
        <w:spacing w:line="271" w:lineRule="auto"/>
        <w:ind w:left="492" w:right="153"/>
        <w:jc w:val="both"/>
        <w:rPr>
          <w:rFonts w:ascii="Arial" w:hAnsi="Arial" w:cs="Arial"/>
          <w:i/>
          <w:sz w:val="22"/>
          <w:szCs w:val="22"/>
          <w:lang w:val="en-ZA"/>
        </w:rPr>
      </w:pPr>
      <w:r w:rsidRPr="003F111D">
        <w:rPr>
          <w:rFonts w:ascii="Arial" w:hAnsi="Arial" w:cs="Arial"/>
          <w:i/>
          <w:sz w:val="22"/>
          <w:szCs w:val="22"/>
          <w:lang w:val="en-ZA"/>
        </w:rPr>
        <w:t xml:space="preserve">Comment: </w:t>
      </w:r>
      <w:r w:rsidRPr="00403DF5">
        <w:rPr>
          <w:rFonts w:ascii="Arial" w:hAnsi="Arial" w:cs="Arial"/>
          <w:sz w:val="22"/>
          <w:szCs w:val="22"/>
          <w:lang w:val="en-ZA"/>
        </w:rPr>
        <w:t>It is proposed that the</w:t>
      </w:r>
      <w:r w:rsidR="4C0F1C13" w:rsidRPr="00403DF5">
        <w:rPr>
          <w:rFonts w:ascii="Arial" w:hAnsi="Arial" w:cs="Arial"/>
          <w:sz w:val="22"/>
          <w:szCs w:val="22"/>
          <w:lang w:val="en-ZA"/>
        </w:rPr>
        <w:t xml:space="preserve"> exceptions to the</w:t>
      </w:r>
      <w:r w:rsidRPr="00403DF5">
        <w:rPr>
          <w:rFonts w:ascii="Arial" w:hAnsi="Arial" w:cs="Arial"/>
          <w:sz w:val="22"/>
          <w:szCs w:val="22"/>
          <w:lang w:val="en-ZA"/>
        </w:rPr>
        <w:t xml:space="preserve"> ownership requirement test</w:t>
      </w:r>
      <w:r w:rsidR="7E6CA4E0" w:rsidRPr="00403DF5">
        <w:rPr>
          <w:rFonts w:ascii="Arial" w:hAnsi="Arial" w:cs="Arial"/>
          <w:sz w:val="22"/>
          <w:szCs w:val="22"/>
          <w:lang w:val="en-ZA"/>
        </w:rPr>
        <w:t xml:space="preserve">, effective 1 January 2024, be expanded to </w:t>
      </w:r>
      <w:r w:rsidRPr="00403DF5">
        <w:rPr>
          <w:rFonts w:ascii="Arial" w:hAnsi="Arial" w:cs="Arial"/>
          <w:sz w:val="22"/>
          <w:szCs w:val="22"/>
          <w:lang w:val="en-ZA"/>
        </w:rPr>
        <w:t xml:space="preserve">include </w:t>
      </w:r>
      <w:r w:rsidR="192D7464" w:rsidRPr="00403DF5">
        <w:rPr>
          <w:rFonts w:ascii="Arial" w:hAnsi="Arial" w:cs="Arial"/>
          <w:sz w:val="22"/>
          <w:szCs w:val="22"/>
          <w:lang w:val="en-ZA"/>
        </w:rPr>
        <w:t xml:space="preserve">further </w:t>
      </w:r>
      <w:r w:rsidRPr="00403DF5">
        <w:rPr>
          <w:rFonts w:ascii="Arial" w:hAnsi="Arial" w:cs="Arial"/>
          <w:sz w:val="22"/>
          <w:szCs w:val="22"/>
          <w:lang w:val="en-ZA"/>
        </w:rPr>
        <w:t>exceptions</w:t>
      </w:r>
      <w:r w:rsidR="76FBB964" w:rsidRPr="00403DF5">
        <w:rPr>
          <w:rFonts w:ascii="Arial" w:hAnsi="Arial" w:cs="Arial"/>
          <w:sz w:val="22"/>
          <w:szCs w:val="22"/>
          <w:lang w:val="en-ZA"/>
        </w:rPr>
        <w:t>, other than those</w:t>
      </w:r>
      <w:r w:rsidR="76FBB964" w:rsidRPr="003F111D">
        <w:rPr>
          <w:rFonts w:ascii="Arial" w:hAnsi="Arial" w:cs="Arial"/>
          <w:i/>
          <w:sz w:val="22"/>
          <w:szCs w:val="22"/>
          <w:lang w:val="en-ZA"/>
        </w:rPr>
        <w:t xml:space="preserve"> </w:t>
      </w:r>
      <w:r w:rsidR="76FBB964" w:rsidRPr="00403DF5">
        <w:rPr>
          <w:rFonts w:ascii="Arial" w:hAnsi="Arial" w:cs="Arial"/>
          <w:sz w:val="22"/>
          <w:szCs w:val="22"/>
          <w:lang w:val="en-ZA"/>
        </w:rPr>
        <w:t>proposed in the 2024 draft TLAB</w:t>
      </w:r>
      <w:r w:rsidR="57217513" w:rsidRPr="00403DF5">
        <w:rPr>
          <w:rFonts w:ascii="Arial" w:hAnsi="Arial" w:cs="Arial"/>
          <w:sz w:val="22"/>
          <w:szCs w:val="22"/>
          <w:lang w:val="en-ZA"/>
        </w:rPr>
        <w:t>, including</w:t>
      </w:r>
      <w:r w:rsidR="76FBB964" w:rsidRPr="003F111D">
        <w:rPr>
          <w:rFonts w:ascii="Arial" w:hAnsi="Arial" w:cs="Arial"/>
          <w:i/>
          <w:sz w:val="22"/>
          <w:szCs w:val="22"/>
          <w:lang w:val="en-ZA"/>
        </w:rPr>
        <w:t>:</w:t>
      </w:r>
    </w:p>
    <w:p w14:paraId="3B6EC483" w14:textId="77777777" w:rsidR="00ED7796" w:rsidRPr="003F111D" w:rsidRDefault="00ED7796" w:rsidP="251BE3F0">
      <w:pPr>
        <w:pStyle w:val="BodyText"/>
        <w:spacing w:line="271" w:lineRule="auto"/>
        <w:ind w:right="152"/>
        <w:jc w:val="both"/>
        <w:rPr>
          <w:lang w:val="en-ZA"/>
        </w:rPr>
      </w:pPr>
    </w:p>
    <w:p w14:paraId="4A4EAB33" w14:textId="25FE5489" w:rsidR="00ED7796" w:rsidRPr="00403DF5" w:rsidRDefault="12167183" w:rsidP="003F111D">
      <w:pPr>
        <w:pStyle w:val="BodyText"/>
        <w:numPr>
          <w:ilvl w:val="0"/>
          <w:numId w:val="74"/>
        </w:numPr>
        <w:spacing w:line="271" w:lineRule="auto"/>
        <w:ind w:right="153"/>
        <w:jc w:val="both"/>
        <w:rPr>
          <w:rFonts w:ascii="Arial" w:hAnsi="Arial" w:cs="Arial"/>
          <w:sz w:val="22"/>
          <w:szCs w:val="22"/>
          <w:lang w:val="en-ZA"/>
        </w:rPr>
      </w:pPr>
      <w:r w:rsidRPr="00403DF5">
        <w:rPr>
          <w:rFonts w:ascii="Arial" w:hAnsi="Arial" w:cs="Arial"/>
          <w:sz w:val="22"/>
          <w:szCs w:val="22"/>
          <w:lang w:val="en-ZA"/>
        </w:rPr>
        <w:t>an exclusion from the ownership requirement in instances where the equity shares in the operating company have been transferred in terms of a “securities lending arrangement” or a “collateral arrangement”</w:t>
      </w:r>
      <w:r w:rsidR="3F81DF65" w:rsidRPr="00403DF5">
        <w:rPr>
          <w:rFonts w:ascii="Arial" w:hAnsi="Arial" w:cs="Arial"/>
          <w:sz w:val="22"/>
          <w:szCs w:val="22"/>
          <w:lang w:val="en-ZA"/>
        </w:rPr>
        <w:t xml:space="preserve">; </w:t>
      </w:r>
    </w:p>
    <w:p w14:paraId="7D531424" w14:textId="55576154" w:rsidR="00ED7796" w:rsidRPr="00403DF5" w:rsidRDefault="12167183" w:rsidP="003F111D">
      <w:pPr>
        <w:pStyle w:val="BodyText"/>
        <w:numPr>
          <w:ilvl w:val="0"/>
          <w:numId w:val="74"/>
        </w:numPr>
        <w:spacing w:line="271" w:lineRule="auto"/>
        <w:ind w:right="153"/>
        <w:jc w:val="both"/>
        <w:rPr>
          <w:rFonts w:ascii="Arial" w:hAnsi="Arial" w:cs="Arial"/>
          <w:sz w:val="22"/>
          <w:szCs w:val="22"/>
          <w:lang w:val="en-ZA"/>
        </w:rPr>
      </w:pPr>
      <w:r w:rsidRPr="00403DF5">
        <w:rPr>
          <w:rFonts w:ascii="Arial" w:hAnsi="Arial" w:cs="Arial"/>
          <w:sz w:val="22"/>
          <w:szCs w:val="22"/>
          <w:lang w:val="en-ZA"/>
        </w:rPr>
        <w:t>a share-substitution carve-out be included for unlisted share transactions</w:t>
      </w:r>
      <w:r w:rsidR="4D359CDB" w:rsidRPr="00403DF5">
        <w:rPr>
          <w:rFonts w:ascii="Arial" w:hAnsi="Arial" w:cs="Arial"/>
          <w:sz w:val="22"/>
          <w:szCs w:val="22"/>
          <w:lang w:val="en-ZA"/>
        </w:rPr>
        <w:t xml:space="preserve">; </w:t>
      </w:r>
      <w:r w:rsidR="780B40F2" w:rsidRPr="00403DF5">
        <w:rPr>
          <w:rFonts w:ascii="Arial" w:hAnsi="Arial" w:cs="Arial"/>
          <w:sz w:val="22"/>
          <w:szCs w:val="22"/>
          <w:lang w:val="en-ZA"/>
        </w:rPr>
        <w:t>and</w:t>
      </w:r>
    </w:p>
    <w:p w14:paraId="79EE04E2" w14:textId="7162915D" w:rsidR="00ED7796" w:rsidRPr="00403DF5" w:rsidRDefault="780B40F2" w:rsidP="003F111D">
      <w:pPr>
        <w:pStyle w:val="BodyText"/>
        <w:numPr>
          <w:ilvl w:val="0"/>
          <w:numId w:val="74"/>
        </w:numPr>
        <w:spacing w:line="271" w:lineRule="auto"/>
        <w:ind w:right="153"/>
        <w:jc w:val="both"/>
        <w:rPr>
          <w:rFonts w:ascii="Arial" w:hAnsi="Arial" w:cs="Arial"/>
          <w:sz w:val="22"/>
          <w:szCs w:val="22"/>
          <w:lang w:val="en-ZA"/>
        </w:rPr>
      </w:pPr>
      <w:r w:rsidRPr="00403DF5">
        <w:rPr>
          <w:rFonts w:ascii="Arial" w:hAnsi="Arial" w:cs="Arial"/>
          <w:sz w:val="22"/>
          <w:szCs w:val="22"/>
          <w:lang w:val="en-ZA"/>
        </w:rPr>
        <w:t>any intra-group transactions which have the result that the original shares in the operating company have been transferred to a different group holding company or the operating company was merged with another group company</w:t>
      </w:r>
      <w:r w:rsidR="7EAFF75C" w:rsidRPr="00403DF5">
        <w:rPr>
          <w:rFonts w:ascii="Arial" w:hAnsi="Arial" w:cs="Arial"/>
          <w:sz w:val="22"/>
          <w:szCs w:val="22"/>
          <w:lang w:val="en-ZA"/>
        </w:rPr>
        <w:t>;</w:t>
      </w:r>
    </w:p>
    <w:p w14:paraId="6B88BFB3" w14:textId="0C9B7DD4" w:rsidR="7EAFF75C" w:rsidRPr="00403DF5" w:rsidRDefault="7EAFF75C" w:rsidP="003F111D">
      <w:pPr>
        <w:pStyle w:val="BodyText"/>
        <w:numPr>
          <w:ilvl w:val="0"/>
          <w:numId w:val="74"/>
        </w:numPr>
        <w:spacing w:line="271" w:lineRule="auto"/>
        <w:ind w:right="153"/>
        <w:jc w:val="both"/>
        <w:rPr>
          <w:rFonts w:ascii="Arial" w:hAnsi="Arial" w:cs="Arial"/>
          <w:sz w:val="22"/>
          <w:szCs w:val="22"/>
          <w:lang w:val="en-ZA"/>
        </w:rPr>
      </w:pPr>
      <w:r w:rsidRPr="00403DF5">
        <w:rPr>
          <w:rFonts w:ascii="Arial" w:hAnsi="Arial" w:cs="Arial"/>
          <w:sz w:val="22"/>
          <w:szCs w:val="22"/>
          <w:lang w:val="en-ZA"/>
        </w:rPr>
        <w:t xml:space="preserve">A provision that a determined </w:t>
      </w:r>
      <w:r w:rsidR="798DB85C" w:rsidRPr="00403DF5">
        <w:rPr>
          <w:rFonts w:ascii="Arial" w:hAnsi="Arial" w:cs="Arial"/>
          <w:sz w:val="22"/>
          <w:szCs w:val="22"/>
          <w:lang w:val="en-ZA"/>
        </w:rPr>
        <w:t>time period</w:t>
      </w:r>
      <w:r w:rsidRPr="00403DF5">
        <w:rPr>
          <w:rFonts w:ascii="Arial" w:hAnsi="Arial" w:cs="Arial"/>
          <w:sz w:val="22"/>
          <w:szCs w:val="22"/>
          <w:lang w:val="en-ZA"/>
        </w:rPr>
        <w:t xml:space="preserve"> </w:t>
      </w:r>
      <w:r w:rsidR="43A0CC99" w:rsidRPr="00403DF5">
        <w:rPr>
          <w:rFonts w:ascii="Arial" w:hAnsi="Arial" w:cs="Arial"/>
          <w:sz w:val="22"/>
          <w:szCs w:val="22"/>
          <w:lang w:val="en-ZA"/>
        </w:rPr>
        <w:t>applies</w:t>
      </w:r>
      <w:r w:rsidRPr="00403DF5">
        <w:rPr>
          <w:rFonts w:ascii="Arial" w:hAnsi="Arial" w:cs="Arial"/>
          <w:sz w:val="22"/>
          <w:szCs w:val="22"/>
          <w:lang w:val="en-ZA"/>
        </w:rPr>
        <w:t xml:space="preserve"> </w:t>
      </w:r>
      <w:r w:rsidR="1A3E7185" w:rsidRPr="00403DF5">
        <w:rPr>
          <w:rFonts w:ascii="Arial" w:hAnsi="Arial" w:cs="Arial"/>
          <w:sz w:val="22"/>
          <w:szCs w:val="22"/>
          <w:lang w:val="en-ZA"/>
        </w:rPr>
        <w:t>to the</w:t>
      </w:r>
      <w:r w:rsidRPr="00403DF5">
        <w:rPr>
          <w:rFonts w:ascii="Arial" w:hAnsi="Arial" w:cs="Arial"/>
          <w:sz w:val="22"/>
          <w:szCs w:val="22"/>
          <w:lang w:val="en-ZA"/>
        </w:rPr>
        <w:t xml:space="preserve"> ownership requirement test, or </w:t>
      </w:r>
      <w:r w:rsidR="55E085D4" w:rsidRPr="00403DF5">
        <w:rPr>
          <w:rFonts w:ascii="Arial" w:hAnsi="Arial" w:cs="Arial"/>
          <w:sz w:val="22"/>
          <w:szCs w:val="22"/>
          <w:lang w:val="en-ZA"/>
        </w:rPr>
        <w:t xml:space="preserve">even </w:t>
      </w:r>
      <w:r w:rsidRPr="00403DF5">
        <w:rPr>
          <w:rFonts w:ascii="Arial" w:hAnsi="Arial" w:cs="Arial"/>
          <w:sz w:val="22"/>
          <w:szCs w:val="22"/>
          <w:lang w:val="en-ZA"/>
        </w:rPr>
        <w:t xml:space="preserve">a de minimus rule be applied where some equity shares underlying operating companies are disposed </w:t>
      </w:r>
      <w:r w:rsidR="04095D90" w:rsidRPr="00403DF5">
        <w:rPr>
          <w:rFonts w:ascii="Arial" w:hAnsi="Arial" w:cs="Arial"/>
          <w:sz w:val="22"/>
          <w:szCs w:val="22"/>
          <w:lang w:val="en-ZA"/>
        </w:rPr>
        <w:t>of for commercial reasons</w:t>
      </w:r>
      <w:r w:rsidR="621E9B9D" w:rsidRPr="00403DF5">
        <w:rPr>
          <w:rFonts w:ascii="Arial" w:hAnsi="Arial" w:cs="Arial"/>
          <w:sz w:val="22"/>
          <w:szCs w:val="22"/>
          <w:lang w:val="en-ZA"/>
        </w:rPr>
        <w:t>.</w:t>
      </w:r>
    </w:p>
    <w:p w14:paraId="1385F0B6" w14:textId="563A4FCD" w:rsidR="251BE3F0" w:rsidRPr="003F111D" w:rsidRDefault="251BE3F0" w:rsidP="0038739C">
      <w:pPr>
        <w:pStyle w:val="BodyText"/>
        <w:spacing w:line="271" w:lineRule="auto"/>
        <w:ind w:right="152"/>
        <w:jc w:val="both"/>
        <w:rPr>
          <w:lang w:val="en-ZA"/>
        </w:rPr>
      </w:pPr>
    </w:p>
    <w:p w14:paraId="14988ACC" w14:textId="471B62B0" w:rsidR="3A6AA434" w:rsidRPr="00403DF5" w:rsidRDefault="3A6AA434" w:rsidP="00DA6459">
      <w:pPr>
        <w:pStyle w:val="BodyText"/>
        <w:spacing w:line="271" w:lineRule="auto"/>
        <w:ind w:left="831" w:right="152"/>
        <w:jc w:val="both"/>
        <w:rPr>
          <w:rFonts w:ascii="Arial" w:hAnsi="Arial" w:cs="Arial"/>
          <w:sz w:val="22"/>
          <w:szCs w:val="22"/>
          <w:lang w:val="en-ZA"/>
        </w:rPr>
      </w:pPr>
      <w:r w:rsidRPr="003F111D">
        <w:rPr>
          <w:rFonts w:ascii="Arial" w:hAnsi="Arial" w:cs="Arial"/>
          <w:i/>
          <w:sz w:val="22"/>
          <w:szCs w:val="22"/>
          <w:lang w:val="en-ZA"/>
        </w:rPr>
        <w:t xml:space="preserve">Response: </w:t>
      </w:r>
      <w:r w:rsidRPr="00403DF5">
        <w:rPr>
          <w:rFonts w:ascii="Arial" w:hAnsi="Arial" w:cs="Arial"/>
          <w:sz w:val="22"/>
          <w:szCs w:val="22"/>
          <w:u w:val="single"/>
          <w:lang w:val="en-ZA"/>
        </w:rPr>
        <w:t>Not accepted</w:t>
      </w:r>
      <w:r w:rsidRPr="00403DF5">
        <w:rPr>
          <w:rFonts w:ascii="Arial" w:hAnsi="Arial" w:cs="Arial"/>
          <w:sz w:val="22"/>
          <w:szCs w:val="22"/>
          <w:lang w:val="en-ZA"/>
        </w:rPr>
        <w:t xml:space="preserve">. </w:t>
      </w:r>
      <w:r w:rsidR="414BB683" w:rsidRPr="00403DF5">
        <w:rPr>
          <w:rFonts w:ascii="Arial" w:hAnsi="Arial" w:cs="Arial"/>
          <w:sz w:val="22"/>
          <w:szCs w:val="22"/>
          <w:lang w:val="en-ZA"/>
        </w:rPr>
        <w:t xml:space="preserve">Comments relate to additional expansions </w:t>
      </w:r>
      <w:r w:rsidR="3F6AFEC3" w:rsidRPr="00403DF5">
        <w:rPr>
          <w:rFonts w:ascii="Arial" w:hAnsi="Arial" w:cs="Arial"/>
          <w:sz w:val="22"/>
          <w:szCs w:val="22"/>
          <w:lang w:val="en-ZA"/>
        </w:rPr>
        <w:t xml:space="preserve">requested </w:t>
      </w:r>
      <w:r w:rsidR="414BB683" w:rsidRPr="00403DF5">
        <w:rPr>
          <w:rFonts w:ascii="Arial" w:hAnsi="Arial" w:cs="Arial"/>
          <w:sz w:val="22"/>
          <w:szCs w:val="22"/>
          <w:lang w:val="en-ZA"/>
        </w:rPr>
        <w:t xml:space="preserve">outside of scope of </w:t>
      </w:r>
      <w:r w:rsidR="4E6B372E" w:rsidRPr="00403DF5">
        <w:rPr>
          <w:rFonts w:ascii="Arial" w:hAnsi="Arial" w:cs="Arial"/>
          <w:sz w:val="22"/>
          <w:szCs w:val="22"/>
          <w:lang w:val="en-ZA"/>
        </w:rPr>
        <w:t xml:space="preserve">the </w:t>
      </w:r>
      <w:r w:rsidR="414BB683" w:rsidRPr="00403DF5">
        <w:rPr>
          <w:rFonts w:ascii="Arial" w:hAnsi="Arial" w:cs="Arial"/>
          <w:sz w:val="22"/>
          <w:szCs w:val="22"/>
          <w:lang w:val="en-ZA"/>
        </w:rPr>
        <w:t xml:space="preserve">proposed </w:t>
      </w:r>
      <w:r w:rsidR="0C4E7433" w:rsidRPr="00403DF5">
        <w:rPr>
          <w:rFonts w:ascii="Arial" w:hAnsi="Arial" w:cs="Arial"/>
          <w:sz w:val="22"/>
          <w:szCs w:val="22"/>
          <w:lang w:val="en-ZA"/>
        </w:rPr>
        <w:t>amendments</w:t>
      </w:r>
      <w:r w:rsidR="6981453A" w:rsidRPr="00403DF5">
        <w:rPr>
          <w:rFonts w:ascii="Arial" w:hAnsi="Arial" w:cs="Arial"/>
          <w:sz w:val="22"/>
          <w:szCs w:val="22"/>
          <w:lang w:val="en-ZA"/>
        </w:rPr>
        <w:t xml:space="preserve"> in the 2024 draft TLAB.</w:t>
      </w:r>
      <w:r w:rsidR="06EF4E94" w:rsidRPr="00403DF5">
        <w:rPr>
          <w:rFonts w:ascii="Arial" w:hAnsi="Arial" w:cs="Arial"/>
          <w:sz w:val="22"/>
          <w:szCs w:val="22"/>
          <w:lang w:val="en-ZA"/>
        </w:rPr>
        <w:t xml:space="preserve"> </w:t>
      </w:r>
    </w:p>
    <w:p w14:paraId="0870B787" w14:textId="77777777" w:rsidR="00C375DB" w:rsidRPr="003F111D" w:rsidRDefault="00C375DB" w:rsidP="00403DF5">
      <w:pPr>
        <w:pStyle w:val="BodyText"/>
        <w:spacing w:line="271" w:lineRule="auto"/>
        <w:ind w:right="152"/>
        <w:jc w:val="both"/>
        <w:rPr>
          <w:rFonts w:ascii="Arial" w:hAnsi="Arial" w:cs="Arial"/>
          <w:i/>
          <w:sz w:val="22"/>
          <w:szCs w:val="22"/>
          <w:lang w:val="en-ZA"/>
        </w:rPr>
      </w:pPr>
    </w:p>
    <w:p w14:paraId="0BF72237" w14:textId="77777777" w:rsidR="00C375DB" w:rsidRPr="003F111D" w:rsidRDefault="00C375DB" w:rsidP="003F111D">
      <w:pPr>
        <w:pStyle w:val="Heading3"/>
        <w:tabs>
          <w:tab w:val="left" w:pos="961"/>
        </w:tabs>
        <w:spacing w:before="0" w:line="259" w:lineRule="auto"/>
        <w:ind w:left="0" w:firstLine="0"/>
        <w:rPr>
          <w:sz w:val="22"/>
          <w:szCs w:val="22"/>
          <w:lang w:val="en-ZA"/>
        </w:rPr>
      </w:pPr>
    </w:p>
    <w:p w14:paraId="6B5D7DDC" w14:textId="561661E1" w:rsidR="06EF4E94" w:rsidRPr="003F111D" w:rsidRDefault="06EF4E94" w:rsidP="003F111D">
      <w:pPr>
        <w:pStyle w:val="Heading3"/>
        <w:numPr>
          <w:ilvl w:val="1"/>
          <w:numId w:val="37"/>
        </w:numPr>
        <w:tabs>
          <w:tab w:val="left" w:pos="961"/>
        </w:tabs>
        <w:spacing w:before="0" w:line="259" w:lineRule="auto"/>
        <w:rPr>
          <w:sz w:val="22"/>
          <w:szCs w:val="22"/>
          <w:lang w:val="en-ZA"/>
        </w:rPr>
      </w:pPr>
      <w:bookmarkStart w:id="73" w:name="_Toc189212115"/>
      <w:r w:rsidRPr="003F111D">
        <w:rPr>
          <w:sz w:val="22"/>
          <w:szCs w:val="22"/>
          <w:lang w:val="en-ZA"/>
        </w:rPr>
        <w:t>Translating “contributed tax capital” from foreign currency to rands</w:t>
      </w:r>
      <w:bookmarkEnd w:id="73"/>
    </w:p>
    <w:p w14:paraId="62160CC6" w14:textId="66A7D6AF" w:rsidR="06EF4E94" w:rsidRPr="003F111D" w:rsidRDefault="06EF4E94" w:rsidP="003F111D">
      <w:pPr>
        <w:pStyle w:val="BodyText"/>
        <w:spacing w:before="164"/>
        <w:ind w:left="492"/>
        <w:rPr>
          <w:rFonts w:ascii="Arial" w:hAnsi="Arial" w:cs="Arial"/>
          <w:sz w:val="22"/>
          <w:szCs w:val="22"/>
          <w:lang w:val="en-ZA"/>
        </w:rPr>
      </w:pPr>
      <w:r w:rsidRPr="003F111D">
        <w:rPr>
          <w:rFonts w:ascii="Arial" w:hAnsi="Arial" w:cs="Arial"/>
          <w:sz w:val="22"/>
          <w:szCs w:val="22"/>
          <w:lang w:val="en-ZA"/>
        </w:rPr>
        <w:t>(Main reference:  Section 25E of the Income Tax Act: Clause 23 of the Draft TLAB)</w:t>
      </w:r>
    </w:p>
    <w:p w14:paraId="655AF365" w14:textId="52E4BA61" w:rsidR="251BE3F0" w:rsidRPr="003F111D" w:rsidRDefault="251BE3F0" w:rsidP="251BE3F0">
      <w:pPr>
        <w:pStyle w:val="BodyText"/>
        <w:spacing w:line="271" w:lineRule="auto"/>
        <w:ind w:right="152"/>
        <w:jc w:val="both"/>
        <w:rPr>
          <w:lang w:val="en-ZA"/>
        </w:rPr>
      </w:pPr>
    </w:p>
    <w:p w14:paraId="625FDA55" w14:textId="204CD450" w:rsidR="677FA8DE" w:rsidRPr="00403DF5" w:rsidRDefault="677FA8DE" w:rsidP="00403DF5">
      <w:pPr>
        <w:pStyle w:val="BodyText"/>
        <w:spacing w:line="271" w:lineRule="auto"/>
        <w:ind w:left="831" w:right="152"/>
        <w:jc w:val="both"/>
        <w:rPr>
          <w:rFonts w:ascii="Arial" w:hAnsi="Arial" w:cs="Arial"/>
          <w:iCs/>
          <w:sz w:val="22"/>
          <w:szCs w:val="22"/>
          <w:lang w:val="en-ZA"/>
        </w:rPr>
      </w:pPr>
      <w:r w:rsidRPr="00403DF5">
        <w:rPr>
          <w:rFonts w:ascii="Arial" w:hAnsi="Arial" w:cs="Arial"/>
          <w:iCs/>
          <w:sz w:val="22"/>
          <w:szCs w:val="22"/>
          <w:lang w:val="en-ZA"/>
        </w:rPr>
        <w:t>In line with the 2023 Budget announcement, during the 2023 legislative cycle, rules were introduced to clarify the translation of the “contributed tax capital” of a class of shares that are denominated in a foreign currency to the currency of the Republic. More specifically, these translation rules require that companies apply the applicable spot rate on the date that the relevant amount is recognised for income tax purposes.</w:t>
      </w:r>
    </w:p>
    <w:p w14:paraId="771EF96B" w14:textId="5B6466FC" w:rsidR="251BE3F0" w:rsidRPr="00403DF5" w:rsidRDefault="251BE3F0" w:rsidP="00403DF5">
      <w:pPr>
        <w:pStyle w:val="BodyText"/>
        <w:spacing w:line="271" w:lineRule="auto"/>
        <w:ind w:left="831" w:right="152"/>
        <w:jc w:val="both"/>
        <w:rPr>
          <w:rFonts w:ascii="Arial" w:hAnsi="Arial" w:cs="Arial"/>
          <w:iCs/>
          <w:sz w:val="22"/>
          <w:szCs w:val="22"/>
          <w:lang w:val="en-ZA"/>
        </w:rPr>
      </w:pPr>
    </w:p>
    <w:p w14:paraId="32A6E725" w14:textId="3066FFDC" w:rsidR="677FA8DE" w:rsidRPr="00403DF5" w:rsidRDefault="677FA8DE" w:rsidP="00403DF5">
      <w:pPr>
        <w:pStyle w:val="BodyText"/>
        <w:spacing w:line="271" w:lineRule="auto"/>
        <w:ind w:left="831" w:right="152"/>
        <w:jc w:val="both"/>
        <w:rPr>
          <w:rFonts w:ascii="Arial" w:hAnsi="Arial" w:cs="Arial"/>
          <w:iCs/>
          <w:sz w:val="22"/>
          <w:szCs w:val="22"/>
          <w:lang w:val="en-ZA"/>
        </w:rPr>
      </w:pPr>
      <w:r w:rsidRPr="00403DF5">
        <w:rPr>
          <w:rFonts w:ascii="Arial" w:hAnsi="Arial" w:cs="Arial"/>
          <w:iCs/>
          <w:sz w:val="22"/>
          <w:szCs w:val="22"/>
          <w:lang w:val="en-ZA"/>
        </w:rPr>
        <w:t>The translation rules for purposes of CTC have been welcomed by industry and taxpayers but concerns have been raised about certain potential application and interpretive shortcomings not sufficiently clarified.</w:t>
      </w:r>
    </w:p>
    <w:p w14:paraId="6D33EAD7" w14:textId="547E0F05" w:rsidR="251BE3F0" w:rsidRPr="00403DF5" w:rsidRDefault="251BE3F0" w:rsidP="00403DF5">
      <w:pPr>
        <w:pStyle w:val="BodyText"/>
        <w:spacing w:line="271" w:lineRule="auto"/>
        <w:ind w:left="831" w:right="152"/>
        <w:jc w:val="both"/>
        <w:rPr>
          <w:rFonts w:ascii="Arial" w:hAnsi="Arial" w:cs="Arial"/>
          <w:iCs/>
          <w:sz w:val="22"/>
          <w:szCs w:val="22"/>
          <w:lang w:val="en-ZA"/>
        </w:rPr>
      </w:pPr>
    </w:p>
    <w:p w14:paraId="517B130B" w14:textId="2C7112B6" w:rsidR="677FA8DE" w:rsidRPr="00403DF5" w:rsidRDefault="677FA8DE" w:rsidP="00403DF5">
      <w:pPr>
        <w:pStyle w:val="BodyText"/>
        <w:spacing w:line="271" w:lineRule="auto"/>
        <w:ind w:left="831" w:right="152"/>
        <w:jc w:val="both"/>
        <w:rPr>
          <w:rFonts w:ascii="Arial" w:hAnsi="Arial" w:cs="Arial"/>
          <w:iCs/>
          <w:sz w:val="22"/>
          <w:szCs w:val="22"/>
          <w:lang w:val="en-ZA"/>
        </w:rPr>
      </w:pPr>
      <w:r w:rsidRPr="00403DF5">
        <w:rPr>
          <w:rFonts w:ascii="Arial" w:hAnsi="Arial" w:cs="Arial"/>
          <w:iCs/>
          <w:sz w:val="22"/>
          <w:szCs w:val="22"/>
          <w:lang w:val="en-ZA"/>
        </w:rPr>
        <w:t>As such, it could be difficult to determine, by example, whether the capital distribution amount through CTC returned to a shareholder, should be translated into Rand at the spot rate at the date of transfer or whether the spot rate on the date when the CTC was created should be used, so as to determine a rand amount of CTC available for distribution that would not be affected by subsequent currency fluctuations</w:t>
      </w:r>
    </w:p>
    <w:p w14:paraId="0C2C048F" w14:textId="0283A29A" w:rsidR="251BE3F0" w:rsidRPr="003F111D" w:rsidRDefault="251BE3F0" w:rsidP="251BE3F0">
      <w:pPr>
        <w:pStyle w:val="BodyText"/>
        <w:spacing w:line="271" w:lineRule="auto"/>
        <w:ind w:right="152"/>
        <w:jc w:val="both"/>
        <w:rPr>
          <w:lang w:val="en-ZA"/>
        </w:rPr>
      </w:pPr>
    </w:p>
    <w:p w14:paraId="04E82FF7" w14:textId="7E91E023" w:rsidR="174D4BEA" w:rsidRPr="00403DF5" w:rsidRDefault="174D4BEA" w:rsidP="00403DF5">
      <w:pPr>
        <w:pStyle w:val="BodyText"/>
        <w:spacing w:line="271" w:lineRule="auto"/>
        <w:ind w:left="831" w:right="152"/>
        <w:jc w:val="both"/>
        <w:rPr>
          <w:sz w:val="22"/>
          <w:szCs w:val="22"/>
          <w:lang w:val="en-ZA"/>
        </w:rPr>
      </w:pPr>
      <w:r w:rsidRPr="00403DF5">
        <w:rPr>
          <w:rFonts w:ascii="Arial" w:hAnsi="Arial" w:cs="Arial"/>
          <w:iCs/>
          <w:sz w:val="22"/>
          <w:szCs w:val="22"/>
          <w:lang w:val="en-ZA"/>
        </w:rPr>
        <w:t>To ensure better legislative clarity and efficiency of application i</w:t>
      </w:r>
      <w:r w:rsidR="677FA8DE" w:rsidRPr="00403DF5">
        <w:rPr>
          <w:rFonts w:ascii="Arial" w:hAnsi="Arial" w:cs="Arial"/>
          <w:iCs/>
          <w:sz w:val="22"/>
          <w:szCs w:val="22"/>
          <w:lang w:val="en-ZA"/>
        </w:rPr>
        <w:t>t is proposed that the rules introduced for the translation of the amount of CTC in 2023 in relation to a class of shares</w:t>
      </w:r>
      <w:r w:rsidR="3C650A09" w:rsidRPr="00403DF5">
        <w:rPr>
          <w:rFonts w:ascii="Arial" w:hAnsi="Arial" w:cs="Arial"/>
          <w:iCs/>
          <w:sz w:val="22"/>
          <w:szCs w:val="22"/>
          <w:lang w:val="en-ZA"/>
        </w:rPr>
        <w:t>,</w:t>
      </w:r>
      <w:r w:rsidR="677FA8DE" w:rsidRPr="00403DF5">
        <w:rPr>
          <w:rFonts w:ascii="Arial" w:hAnsi="Arial" w:cs="Arial"/>
          <w:iCs/>
          <w:sz w:val="22"/>
          <w:szCs w:val="22"/>
          <w:lang w:val="en-ZA"/>
        </w:rPr>
        <w:t xml:space="preserve"> be amended</w:t>
      </w:r>
      <w:r w:rsidR="7C58FA19" w:rsidRPr="00403DF5">
        <w:rPr>
          <w:sz w:val="22"/>
          <w:szCs w:val="22"/>
          <w:lang w:val="en-ZA"/>
        </w:rPr>
        <w:t>:</w:t>
      </w:r>
    </w:p>
    <w:p w14:paraId="481E3685" w14:textId="640F3E5D" w:rsidR="677FA8DE" w:rsidRPr="00403DF5" w:rsidRDefault="677FA8DE" w:rsidP="0038739C">
      <w:pPr>
        <w:pStyle w:val="BodyText"/>
        <w:numPr>
          <w:ilvl w:val="0"/>
          <w:numId w:val="25"/>
        </w:numPr>
        <w:spacing w:line="271" w:lineRule="auto"/>
        <w:ind w:right="152"/>
        <w:jc w:val="both"/>
        <w:rPr>
          <w:rFonts w:ascii="Arial" w:hAnsi="Arial" w:cs="Arial"/>
          <w:sz w:val="22"/>
          <w:szCs w:val="22"/>
          <w:lang w:val="en-ZA"/>
        </w:rPr>
      </w:pPr>
      <w:r w:rsidRPr="00403DF5">
        <w:rPr>
          <w:rFonts w:ascii="Arial" w:hAnsi="Arial" w:cs="Arial"/>
          <w:sz w:val="22"/>
          <w:szCs w:val="22"/>
          <w:lang w:val="en-ZA"/>
        </w:rPr>
        <w:t xml:space="preserve">to rather make a distinction for application based on the functional currency of the tax resident company; </w:t>
      </w:r>
      <w:r w:rsidR="33824FA7" w:rsidRPr="00403DF5">
        <w:rPr>
          <w:rFonts w:ascii="Arial" w:hAnsi="Arial" w:cs="Arial"/>
          <w:sz w:val="22"/>
          <w:szCs w:val="22"/>
          <w:lang w:val="en-ZA"/>
        </w:rPr>
        <w:t>and</w:t>
      </w:r>
    </w:p>
    <w:p w14:paraId="48AD5535" w14:textId="724B0946" w:rsidR="677FA8DE" w:rsidRPr="00403DF5" w:rsidRDefault="677FA8DE" w:rsidP="0038739C">
      <w:pPr>
        <w:pStyle w:val="BodyText"/>
        <w:numPr>
          <w:ilvl w:val="0"/>
          <w:numId w:val="25"/>
        </w:numPr>
        <w:spacing w:line="271" w:lineRule="auto"/>
        <w:ind w:right="152"/>
        <w:jc w:val="both"/>
        <w:rPr>
          <w:rFonts w:ascii="Arial" w:hAnsi="Arial" w:cs="Arial"/>
          <w:sz w:val="22"/>
          <w:szCs w:val="22"/>
          <w:lang w:val="en-ZA"/>
        </w:rPr>
      </w:pPr>
      <w:r w:rsidRPr="00403DF5">
        <w:rPr>
          <w:rFonts w:ascii="Arial" w:hAnsi="Arial" w:cs="Arial"/>
          <w:sz w:val="22"/>
          <w:szCs w:val="22"/>
          <w:lang w:val="en-ZA"/>
        </w:rPr>
        <w:t>the distinguishable and separate points of creation or reduction of CTC.</w:t>
      </w:r>
    </w:p>
    <w:p w14:paraId="7617DE74" w14:textId="2FCEFAE3" w:rsidR="251BE3F0" w:rsidRDefault="251BE3F0" w:rsidP="251BE3F0">
      <w:pPr>
        <w:pStyle w:val="BodyText"/>
        <w:spacing w:line="271" w:lineRule="auto"/>
        <w:ind w:right="152"/>
        <w:jc w:val="both"/>
        <w:rPr>
          <w:lang w:val="en-ZA"/>
        </w:rPr>
      </w:pPr>
    </w:p>
    <w:p w14:paraId="77A49A73" w14:textId="77777777" w:rsidR="001D3EFE" w:rsidRPr="003F111D" w:rsidRDefault="001D3EFE" w:rsidP="251BE3F0">
      <w:pPr>
        <w:pStyle w:val="BodyText"/>
        <w:spacing w:line="271" w:lineRule="auto"/>
        <w:ind w:right="152"/>
        <w:jc w:val="both"/>
        <w:rPr>
          <w:lang w:val="en-ZA"/>
        </w:rPr>
      </w:pPr>
    </w:p>
    <w:p w14:paraId="1C7727FA" w14:textId="213D6D40" w:rsidR="677FA8DE" w:rsidRPr="004C639D" w:rsidRDefault="677FA8DE" w:rsidP="00ED7796">
      <w:pPr>
        <w:pStyle w:val="BodyText"/>
        <w:spacing w:line="271" w:lineRule="auto"/>
        <w:ind w:left="492" w:right="153"/>
        <w:jc w:val="both"/>
        <w:rPr>
          <w:rFonts w:ascii="Arial" w:hAnsi="Arial" w:cs="Arial"/>
          <w:i/>
          <w:sz w:val="22"/>
          <w:szCs w:val="22"/>
          <w:lang w:val="en-ZA"/>
        </w:rPr>
      </w:pPr>
      <w:r w:rsidRPr="003F111D">
        <w:rPr>
          <w:rFonts w:ascii="Arial" w:hAnsi="Arial" w:cs="Arial"/>
          <w:i/>
          <w:sz w:val="22"/>
          <w:szCs w:val="22"/>
          <w:lang w:val="en-ZA"/>
        </w:rPr>
        <w:t xml:space="preserve">Comment: </w:t>
      </w:r>
      <w:r w:rsidR="19DBC484" w:rsidRPr="00403DF5">
        <w:rPr>
          <w:rFonts w:ascii="Arial" w:hAnsi="Arial" w:cs="Arial"/>
          <w:sz w:val="22"/>
          <w:szCs w:val="22"/>
          <w:lang w:val="en-ZA"/>
        </w:rPr>
        <w:t>There are potential application and interpretive shortcomings, which needs clarificatio</w:t>
      </w:r>
      <w:r w:rsidR="05F9193E" w:rsidRPr="00403DF5">
        <w:rPr>
          <w:rFonts w:ascii="Arial" w:hAnsi="Arial" w:cs="Arial"/>
          <w:sz w:val="22"/>
          <w:szCs w:val="22"/>
          <w:lang w:val="en-ZA"/>
        </w:rPr>
        <w:t>n, including</w:t>
      </w:r>
      <w:r w:rsidR="6B38C297" w:rsidRPr="00403DF5">
        <w:rPr>
          <w:rFonts w:ascii="Arial" w:hAnsi="Arial" w:cs="Arial"/>
          <w:sz w:val="22"/>
          <w:szCs w:val="22"/>
          <w:lang w:val="en-ZA"/>
        </w:rPr>
        <w:t xml:space="preserve"> that the</w:t>
      </w:r>
      <w:r w:rsidR="05F9193E" w:rsidRPr="003F111D">
        <w:rPr>
          <w:rFonts w:ascii="Arial" w:hAnsi="Arial" w:cs="Arial"/>
          <w:i/>
          <w:sz w:val="22"/>
          <w:szCs w:val="22"/>
          <w:lang w:val="en-ZA"/>
        </w:rPr>
        <w:t>:</w:t>
      </w:r>
    </w:p>
    <w:p w14:paraId="54403F45" w14:textId="77777777" w:rsidR="00AB57D5" w:rsidRPr="003F111D" w:rsidRDefault="00AB57D5" w:rsidP="003F111D">
      <w:pPr>
        <w:pStyle w:val="BodyText"/>
        <w:spacing w:line="271" w:lineRule="auto"/>
        <w:ind w:left="492" w:right="153"/>
        <w:jc w:val="both"/>
        <w:rPr>
          <w:rFonts w:ascii="Arial" w:hAnsi="Arial" w:cs="Arial"/>
          <w:i/>
          <w:sz w:val="22"/>
          <w:szCs w:val="22"/>
          <w:lang w:val="en-ZA"/>
        </w:rPr>
      </w:pPr>
    </w:p>
    <w:p w14:paraId="63275488" w14:textId="14B7B737" w:rsidR="28F26124" w:rsidRPr="00403DF5" w:rsidRDefault="28F26124" w:rsidP="003F111D">
      <w:pPr>
        <w:pStyle w:val="BodyText"/>
        <w:numPr>
          <w:ilvl w:val="0"/>
          <w:numId w:val="75"/>
        </w:numPr>
        <w:spacing w:line="271" w:lineRule="auto"/>
        <w:ind w:right="153"/>
        <w:jc w:val="both"/>
        <w:rPr>
          <w:rFonts w:ascii="Arial" w:hAnsi="Arial" w:cs="Arial"/>
          <w:sz w:val="22"/>
          <w:szCs w:val="22"/>
          <w:lang w:val="en-ZA"/>
        </w:rPr>
      </w:pPr>
      <w:r w:rsidRPr="00403DF5">
        <w:rPr>
          <w:rFonts w:ascii="Arial" w:hAnsi="Arial" w:cs="Arial"/>
          <w:sz w:val="22"/>
          <w:szCs w:val="22"/>
          <w:lang w:val="en-ZA"/>
        </w:rPr>
        <w:t>proposed amended to section 25E of the Act only applies where the functional currency of the company is ZAR for the purposes of determining increases in CTC. However, in such circumstances there is no rule for the translation of reductions in CTC</w:t>
      </w:r>
      <w:r w:rsidR="49442894" w:rsidRPr="00403DF5">
        <w:rPr>
          <w:rFonts w:ascii="Arial" w:hAnsi="Arial" w:cs="Arial"/>
          <w:sz w:val="22"/>
          <w:szCs w:val="22"/>
          <w:lang w:val="en-ZA"/>
        </w:rPr>
        <w:t xml:space="preserve">; </w:t>
      </w:r>
    </w:p>
    <w:p w14:paraId="431F0CCC" w14:textId="708574A8" w:rsidR="28F26124" w:rsidRPr="003F111D" w:rsidRDefault="28F26124" w:rsidP="003F111D">
      <w:pPr>
        <w:pStyle w:val="BodyText"/>
        <w:numPr>
          <w:ilvl w:val="0"/>
          <w:numId w:val="75"/>
        </w:numPr>
        <w:spacing w:line="271" w:lineRule="auto"/>
        <w:ind w:right="153"/>
        <w:jc w:val="both"/>
        <w:rPr>
          <w:rFonts w:ascii="Arial" w:hAnsi="Arial" w:cs="Arial"/>
          <w:i/>
          <w:sz w:val="22"/>
          <w:szCs w:val="22"/>
          <w:lang w:val="en-ZA"/>
        </w:rPr>
      </w:pPr>
      <w:r w:rsidRPr="00403DF5">
        <w:rPr>
          <w:rFonts w:ascii="Arial" w:hAnsi="Arial" w:cs="Arial"/>
          <w:sz w:val="22"/>
          <w:szCs w:val="22"/>
          <w:lang w:val="en-ZA"/>
        </w:rPr>
        <w:t>way in which s</w:t>
      </w:r>
      <w:r w:rsidR="1C2A9595" w:rsidRPr="00403DF5">
        <w:rPr>
          <w:rFonts w:ascii="Arial" w:hAnsi="Arial" w:cs="Arial"/>
          <w:sz w:val="22"/>
          <w:szCs w:val="22"/>
          <w:lang w:val="en-ZA"/>
        </w:rPr>
        <w:t xml:space="preserve">ection </w:t>
      </w:r>
      <w:r w:rsidRPr="00403DF5">
        <w:rPr>
          <w:rFonts w:ascii="Arial" w:hAnsi="Arial" w:cs="Arial"/>
          <w:sz w:val="22"/>
          <w:szCs w:val="22"/>
          <w:lang w:val="en-ZA"/>
        </w:rPr>
        <w:t>25E(</w:t>
      </w:r>
      <w:r w:rsidRPr="004B3E97">
        <w:rPr>
          <w:rFonts w:ascii="Arial" w:hAnsi="Arial" w:cs="Arial"/>
          <w:i/>
          <w:iCs/>
          <w:sz w:val="22"/>
          <w:szCs w:val="22"/>
          <w:lang w:val="en-ZA"/>
        </w:rPr>
        <w:t>b</w:t>
      </w:r>
      <w:r w:rsidRPr="00403DF5">
        <w:rPr>
          <w:rFonts w:ascii="Arial" w:hAnsi="Arial" w:cs="Arial"/>
          <w:sz w:val="22"/>
          <w:szCs w:val="22"/>
          <w:lang w:val="en-ZA"/>
        </w:rPr>
        <w:t>)</w:t>
      </w:r>
      <w:r w:rsidR="6D6BB5B6" w:rsidRPr="00403DF5">
        <w:rPr>
          <w:rFonts w:ascii="Arial" w:hAnsi="Arial" w:cs="Arial"/>
          <w:sz w:val="22"/>
          <w:szCs w:val="22"/>
          <w:lang w:val="en-ZA"/>
        </w:rPr>
        <w:t xml:space="preserve"> of the Act</w:t>
      </w:r>
      <w:r w:rsidRPr="00403DF5">
        <w:rPr>
          <w:rFonts w:ascii="Arial" w:hAnsi="Arial" w:cs="Arial"/>
          <w:sz w:val="22"/>
          <w:szCs w:val="22"/>
          <w:lang w:val="en-ZA"/>
        </w:rPr>
        <w:t xml:space="preserve"> is worded would result in the reduction amount having to be converted to ZAR despite the functional currency being denominated in a foreign currency because the reduction amount is not</w:t>
      </w:r>
      <w:r w:rsidRPr="003F111D">
        <w:rPr>
          <w:rFonts w:ascii="Arial" w:hAnsi="Arial" w:cs="Arial"/>
          <w:i/>
          <w:sz w:val="22"/>
          <w:szCs w:val="22"/>
          <w:lang w:val="en-ZA"/>
        </w:rPr>
        <w:t xml:space="preserve"> ZAR</w:t>
      </w:r>
      <w:r w:rsidR="34FEC34D" w:rsidRPr="003F111D">
        <w:rPr>
          <w:rFonts w:ascii="Arial" w:hAnsi="Arial" w:cs="Arial"/>
          <w:i/>
          <w:sz w:val="22"/>
          <w:szCs w:val="22"/>
          <w:lang w:val="en-ZA"/>
        </w:rPr>
        <w:t xml:space="preserve">; </w:t>
      </w:r>
    </w:p>
    <w:p w14:paraId="4838D9D7" w14:textId="6BA99DDF" w:rsidR="251BE3F0" w:rsidRPr="003F111D" w:rsidRDefault="251BE3F0" w:rsidP="251BE3F0">
      <w:pPr>
        <w:pStyle w:val="BodyText"/>
        <w:spacing w:line="271" w:lineRule="auto"/>
        <w:ind w:right="152"/>
        <w:jc w:val="both"/>
        <w:rPr>
          <w:lang w:val="en-ZA"/>
        </w:rPr>
      </w:pPr>
    </w:p>
    <w:p w14:paraId="781748D7" w14:textId="24DD1059" w:rsidR="1DA87682" w:rsidRPr="003F111D" w:rsidRDefault="1DA87682" w:rsidP="003F111D">
      <w:pPr>
        <w:pStyle w:val="BodyText"/>
        <w:spacing w:line="271" w:lineRule="auto"/>
        <w:ind w:left="831" w:right="152"/>
        <w:jc w:val="both"/>
        <w:rPr>
          <w:rFonts w:ascii="Arial" w:hAnsi="Arial" w:cs="Arial"/>
          <w:i/>
          <w:sz w:val="22"/>
          <w:szCs w:val="22"/>
          <w:lang w:val="en-ZA"/>
        </w:rPr>
      </w:pPr>
      <w:r w:rsidRPr="003F111D">
        <w:rPr>
          <w:rFonts w:ascii="Arial" w:hAnsi="Arial" w:cs="Arial"/>
          <w:i/>
          <w:sz w:val="22"/>
          <w:szCs w:val="22"/>
          <w:lang w:val="en-ZA"/>
        </w:rPr>
        <w:t xml:space="preserve">Response: </w:t>
      </w:r>
      <w:r w:rsidR="4592EED3" w:rsidRPr="00403DF5">
        <w:rPr>
          <w:rFonts w:ascii="Arial" w:hAnsi="Arial" w:cs="Arial"/>
          <w:sz w:val="22"/>
          <w:szCs w:val="22"/>
          <w:u w:val="single"/>
          <w:lang w:val="en-ZA"/>
        </w:rPr>
        <w:t>Not</w:t>
      </w:r>
      <w:r w:rsidR="6E610FC3" w:rsidRPr="00403DF5">
        <w:rPr>
          <w:rFonts w:ascii="Arial" w:hAnsi="Arial" w:cs="Arial"/>
          <w:sz w:val="22"/>
          <w:szCs w:val="22"/>
          <w:u w:val="single"/>
          <w:lang w:val="en-ZA"/>
        </w:rPr>
        <w:t xml:space="preserve"> acce</w:t>
      </w:r>
      <w:r w:rsidR="209E8F0C" w:rsidRPr="00403DF5">
        <w:rPr>
          <w:rFonts w:ascii="Arial" w:hAnsi="Arial" w:cs="Arial"/>
          <w:sz w:val="22"/>
          <w:szCs w:val="22"/>
          <w:u w:val="single"/>
          <w:lang w:val="en-ZA"/>
        </w:rPr>
        <w:t>p</w:t>
      </w:r>
      <w:r w:rsidR="6E610FC3" w:rsidRPr="00403DF5">
        <w:rPr>
          <w:rFonts w:ascii="Arial" w:hAnsi="Arial" w:cs="Arial"/>
          <w:sz w:val="22"/>
          <w:szCs w:val="22"/>
          <w:u w:val="single"/>
          <w:lang w:val="en-ZA"/>
        </w:rPr>
        <w:t>ted</w:t>
      </w:r>
      <w:r w:rsidR="4592EED3" w:rsidRPr="00403DF5">
        <w:rPr>
          <w:rFonts w:ascii="Arial" w:hAnsi="Arial" w:cs="Arial"/>
          <w:sz w:val="22"/>
          <w:szCs w:val="22"/>
          <w:lang w:val="en-ZA"/>
        </w:rPr>
        <w:t>.</w:t>
      </w:r>
      <w:r w:rsidR="75C99D6C" w:rsidRPr="00403DF5">
        <w:rPr>
          <w:rFonts w:ascii="Arial" w:hAnsi="Arial" w:cs="Arial"/>
          <w:sz w:val="22"/>
          <w:szCs w:val="22"/>
          <w:lang w:val="en-ZA"/>
        </w:rPr>
        <w:t xml:space="preserve"> Issues raised in the comments</w:t>
      </w:r>
      <w:r w:rsidR="3CBC114F" w:rsidRPr="00403DF5">
        <w:rPr>
          <w:rFonts w:ascii="Arial" w:hAnsi="Arial" w:cs="Arial"/>
          <w:sz w:val="22"/>
          <w:szCs w:val="22"/>
          <w:lang w:val="en-ZA"/>
        </w:rPr>
        <w:t xml:space="preserve"> are </w:t>
      </w:r>
      <w:r w:rsidR="6030ADDF" w:rsidRPr="00403DF5">
        <w:rPr>
          <w:rFonts w:ascii="Arial" w:hAnsi="Arial" w:cs="Arial"/>
          <w:sz w:val="22"/>
          <w:szCs w:val="22"/>
          <w:lang w:val="en-ZA"/>
        </w:rPr>
        <w:t xml:space="preserve">either </w:t>
      </w:r>
      <w:r w:rsidR="3CBC114F" w:rsidRPr="00403DF5">
        <w:rPr>
          <w:rFonts w:ascii="Arial" w:hAnsi="Arial" w:cs="Arial"/>
          <w:sz w:val="22"/>
          <w:szCs w:val="22"/>
          <w:lang w:val="en-ZA"/>
        </w:rPr>
        <w:t xml:space="preserve">by </w:t>
      </w:r>
      <w:r w:rsidR="2F38ADBB" w:rsidRPr="00403DF5">
        <w:rPr>
          <w:rFonts w:ascii="Arial" w:hAnsi="Arial" w:cs="Arial"/>
          <w:sz w:val="22"/>
          <w:szCs w:val="22"/>
          <w:lang w:val="en-ZA"/>
        </w:rPr>
        <w:t xml:space="preserve">intentional </w:t>
      </w:r>
      <w:r w:rsidR="3CBC114F" w:rsidRPr="00403DF5">
        <w:rPr>
          <w:rFonts w:ascii="Arial" w:hAnsi="Arial" w:cs="Arial"/>
          <w:sz w:val="22"/>
          <w:szCs w:val="22"/>
          <w:lang w:val="en-ZA"/>
        </w:rPr>
        <w:t xml:space="preserve">design </w:t>
      </w:r>
      <w:r w:rsidR="7F2CAC95" w:rsidRPr="00403DF5">
        <w:rPr>
          <w:rFonts w:ascii="Arial" w:hAnsi="Arial" w:cs="Arial"/>
          <w:sz w:val="22"/>
          <w:szCs w:val="22"/>
          <w:lang w:val="en-ZA"/>
        </w:rPr>
        <w:t>or possibly because of a misunderstanding of the policy intent.</w:t>
      </w:r>
      <w:r w:rsidR="0FBA9EAB" w:rsidRPr="00403DF5">
        <w:rPr>
          <w:rFonts w:ascii="Arial" w:hAnsi="Arial" w:cs="Arial"/>
          <w:sz w:val="22"/>
          <w:szCs w:val="22"/>
          <w:lang w:val="en-ZA"/>
        </w:rPr>
        <w:t xml:space="preserve"> </w:t>
      </w:r>
      <w:r w:rsidR="4BF06290" w:rsidRPr="00403DF5">
        <w:rPr>
          <w:rFonts w:ascii="Arial" w:hAnsi="Arial" w:cs="Arial"/>
          <w:sz w:val="22"/>
          <w:szCs w:val="22"/>
          <w:lang w:val="en-ZA"/>
        </w:rPr>
        <w:t>To clarify, t</w:t>
      </w:r>
      <w:r w:rsidR="6566EB97" w:rsidRPr="00403DF5">
        <w:rPr>
          <w:rFonts w:ascii="Arial" w:hAnsi="Arial" w:cs="Arial"/>
          <w:sz w:val="22"/>
          <w:szCs w:val="22"/>
          <w:lang w:val="en-ZA"/>
        </w:rPr>
        <w:t>he provisions of section 25E of the Act</w:t>
      </w:r>
      <w:r w:rsidR="15A5D713" w:rsidRPr="00403DF5">
        <w:rPr>
          <w:rFonts w:ascii="Arial" w:hAnsi="Arial" w:cs="Arial"/>
          <w:sz w:val="22"/>
          <w:szCs w:val="22"/>
          <w:lang w:val="en-ZA"/>
        </w:rPr>
        <w:t>, as stated above,</w:t>
      </w:r>
      <w:r w:rsidR="3C610E2C" w:rsidRPr="00403DF5">
        <w:rPr>
          <w:rFonts w:ascii="Arial" w:hAnsi="Arial" w:cs="Arial"/>
          <w:sz w:val="22"/>
          <w:szCs w:val="22"/>
          <w:lang w:val="en-ZA"/>
        </w:rPr>
        <w:t xml:space="preserve"> now </w:t>
      </w:r>
      <w:r w:rsidR="5CC5F4BC" w:rsidRPr="00403DF5">
        <w:rPr>
          <w:rFonts w:ascii="Arial" w:hAnsi="Arial" w:cs="Arial"/>
          <w:sz w:val="22"/>
          <w:szCs w:val="22"/>
          <w:lang w:val="en-ZA"/>
        </w:rPr>
        <w:t xml:space="preserve">rather </w:t>
      </w:r>
      <w:r w:rsidR="3C610E2C" w:rsidRPr="00403DF5">
        <w:rPr>
          <w:rFonts w:ascii="Arial" w:hAnsi="Arial" w:cs="Arial"/>
          <w:sz w:val="22"/>
          <w:szCs w:val="22"/>
          <w:lang w:val="en-ZA"/>
        </w:rPr>
        <w:t>make</w:t>
      </w:r>
      <w:r w:rsidR="27A06C2F" w:rsidRPr="00403DF5">
        <w:rPr>
          <w:rFonts w:ascii="Arial" w:hAnsi="Arial" w:cs="Arial"/>
          <w:sz w:val="22"/>
          <w:szCs w:val="22"/>
          <w:lang w:val="en-ZA"/>
        </w:rPr>
        <w:t>s</w:t>
      </w:r>
      <w:r w:rsidR="3C610E2C" w:rsidRPr="00403DF5">
        <w:rPr>
          <w:rFonts w:ascii="Arial" w:hAnsi="Arial" w:cs="Arial"/>
          <w:sz w:val="22"/>
          <w:szCs w:val="22"/>
          <w:lang w:val="en-ZA"/>
        </w:rPr>
        <w:t xml:space="preserve"> </w:t>
      </w:r>
      <w:r w:rsidR="15A5D713" w:rsidRPr="00403DF5">
        <w:rPr>
          <w:rFonts w:ascii="Arial" w:hAnsi="Arial" w:cs="Arial"/>
          <w:sz w:val="22"/>
          <w:szCs w:val="22"/>
          <w:lang w:val="en-ZA"/>
        </w:rPr>
        <w:t>a distinction for application based on the functional currency of the tax resident company and the distinguishable and separate points of creation or reduction of CTC.</w:t>
      </w:r>
      <w:r w:rsidR="10A8653A" w:rsidRPr="00403DF5">
        <w:rPr>
          <w:rFonts w:ascii="Arial" w:hAnsi="Arial" w:cs="Arial"/>
          <w:sz w:val="22"/>
          <w:szCs w:val="22"/>
          <w:lang w:val="en-ZA"/>
        </w:rPr>
        <w:t xml:space="preserve"> As such,</w:t>
      </w:r>
      <w:r w:rsidR="4A0E542D" w:rsidRPr="00403DF5">
        <w:rPr>
          <w:rFonts w:ascii="Arial" w:hAnsi="Arial" w:cs="Arial"/>
          <w:sz w:val="22"/>
          <w:szCs w:val="22"/>
          <w:lang w:val="en-ZA"/>
        </w:rPr>
        <w:t xml:space="preserve"> </w:t>
      </w:r>
      <w:r w:rsidR="10A8653A" w:rsidRPr="00403DF5">
        <w:rPr>
          <w:rFonts w:ascii="Arial" w:hAnsi="Arial" w:cs="Arial"/>
          <w:sz w:val="22"/>
          <w:szCs w:val="22"/>
          <w:lang w:val="en-ZA"/>
        </w:rPr>
        <w:t>w</w:t>
      </w:r>
      <w:r w:rsidR="1FBE35CE" w:rsidRPr="00403DF5">
        <w:rPr>
          <w:rFonts w:ascii="Arial" w:hAnsi="Arial" w:cs="Arial"/>
          <w:sz w:val="22"/>
          <w:szCs w:val="22"/>
          <w:lang w:val="en-ZA"/>
        </w:rPr>
        <w:t>here the functional currency of a tax resident company is</w:t>
      </w:r>
      <w:r w:rsidR="1FBE35CE" w:rsidRPr="003F111D">
        <w:rPr>
          <w:rFonts w:ascii="Arial" w:hAnsi="Arial" w:cs="Arial"/>
          <w:i/>
          <w:sz w:val="22"/>
          <w:szCs w:val="22"/>
          <w:lang w:val="en-ZA"/>
        </w:rPr>
        <w:t>:</w:t>
      </w:r>
    </w:p>
    <w:p w14:paraId="6BA611AE" w14:textId="77777777" w:rsidR="00ED7796" w:rsidRPr="003F111D" w:rsidRDefault="00ED7796">
      <w:pPr>
        <w:pStyle w:val="BodyText"/>
        <w:spacing w:line="271" w:lineRule="auto"/>
        <w:ind w:right="152"/>
        <w:jc w:val="both"/>
        <w:rPr>
          <w:lang w:val="en-ZA"/>
        </w:rPr>
      </w:pPr>
    </w:p>
    <w:p w14:paraId="02F71B0C" w14:textId="42746CBA" w:rsidR="1FBE35CE" w:rsidRPr="00403DF5" w:rsidRDefault="1FBE35CE" w:rsidP="0038739C">
      <w:pPr>
        <w:pStyle w:val="BodyText"/>
        <w:numPr>
          <w:ilvl w:val="0"/>
          <w:numId w:val="23"/>
        </w:numPr>
        <w:spacing w:line="271" w:lineRule="auto"/>
        <w:ind w:right="152"/>
        <w:jc w:val="both"/>
        <w:rPr>
          <w:rFonts w:ascii="Arial" w:hAnsi="Arial" w:cs="Arial"/>
          <w:sz w:val="22"/>
          <w:szCs w:val="22"/>
          <w:lang w:val="en-ZA"/>
        </w:rPr>
      </w:pPr>
      <w:r w:rsidRPr="00403DF5">
        <w:rPr>
          <w:rFonts w:ascii="Arial" w:hAnsi="Arial" w:cs="Arial"/>
          <w:sz w:val="22"/>
          <w:szCs w:val="22"/>
          <w:lang w:val="en-ZA"/>
        </w:rPr>
        <w:t>The currency of the Republic: Rand</w:t>
      </w:r>
    </w:p>
    <w:p w14:paraId="1E409B6C" w14:textId="77777777" w:rsidR="002C3C64" w:rsidRPr="003F111D" w:rsidRDefault="002C3C64" w:rsidP="003F111D">
      <w:pPr>
        <w:pStyle w:val="BodyText"/>
        <w:spacing w:line="271" w:lineRule="auto"/>
        <w:ind w:left="720" w:right="152"/>
        <w:jc w:val="both"/>
        <w:rPr>
          <w:lang w:val="en-ZA"/>
        </w:rPr>
      </w:pPr>
    </w:p>
    <w:p w14:paraId="16AD4ACF" w14:textId="301B2338" w:rsidR="1FBE35CE" w:rsidRPr="00403DF5" w:rsidRDefault="1FBE35CE" w:rsidP="002C3C64">
      <w:pPr>
        <w:pStyle w:val="BodyText"/>
        <w:spacing w:line="271" w:lineRule="auto"/>
        <w:ind w:left="720" w:right="152"/>
        <w:jc w:val="both"/>
        <w:rPr>
          <w:rFonts w:ascii="Arial" w:hAnsi="Arial" w:cs="Arial"/>
          <w:sz w:val="22"/>
          <w:szCs w:val="22"/>
          <w:lang w:val="en-ZA"/>
        </w:rPr>
      </w:pPr>
      <w:r w:rsidRPr="00403DF5">
        <w:rPr>
          <w:rFonts w:ascii="Arial" w:hAnsi="Arial" w:cs="Arial"/>
          <w:sz w:val="22"/>
          <w:szCs w:val="22"/>
          <w:lang w:val="en-ZA"/>
        </w:rPr>
        <w:t>Any foreign amount of consideration received, in relation to a class of shares, as referred to in paragraphs (a) or (b) of the definition of “contributed tax capital” in section 1 of the Act, must be translated to the currency of the Republic by applying the spot rate on the date receipt, accrual or conversion, as the case may be, for purposes of the determination of the increase of CTC. In the case of a foreign company that becomes a resident the translation of the market value of the shares is at the date immediately preceding the date of becoming a resident.</w:t>
      </w:r>
    </w:p>
    <w:p w14:paraId="3E7F7B07" w14:textId="77777777" w:rsidR="002C3C64" w:rsidRPr="003F111D" w:rsidRDefault="002C3C64" w:rsidP="003F111D">
      <w:pPr>
        <w:pStyle w:val="BodyText"/>
        <w:spacing w:line="271" w:lineRule="auto"/>
        <w:ind w:left="720" w:right="152"/>
        <w:jc w:val="both"/>
        <w:rPr>
          <w:lang w:val="en-ZA"/>
        </w:rPr>
      </w:pPr>
    </w:p>
    <w:p w14:paraId="6DB6F101" w14:textId="25E4B2C5" w:rsidR="1FBE35CE" w:rsidRPr="00403DF5" w:rsidRDefault="1FBE35CE" w:rsidP="00403DF5">
      <w:pPr>
        <w:pStyle w:val="BodyText"/>
        <w:numPr>
          <w:ilvl w:val="0"/>
          <w:numId w:val="23"/>
        </w:numPr>
        <w:spacing w:line="271" w:lineRule="auto"/>
        <w:ind w:right="152"/>
        <w:jc w:val="both"/>
        <w:rPr>
          <w:rFonts w:ascii="Arial" w:hAnsi="Arial" w:cs="Arial"/>
          <w:sz w:val="22"/>
          <w:szCs w:val="22"/>
          <w:lang w:val="en-ZA"/>
        </w:rPr>
      </w:pPr>
      <w:r w:rsidRPr="00403DF5">
        <w:rPr>
          <w:rFonts w:ascii="Arial" w:hAnsi="Arial" w:cs="Arial"/>
          <w:sz w:val="22"/>
          <w:szCs w:val="22"/>
          <w:lang w:val="en-ZA"/>
        </w:rPr>
        <w:t>A currency other than the currency of the Republic</w:t>
      </w:r>
    </w:p>
    <w:p w14:paraId="77C93645" w14:textId="77777777" w:rsidR="00203CF2" w:rsidRPr="003F111D" w:rsidRDefault="00203CF2" w:rsidP="003F111D">
      <w:pPr>
        <w:pStyle w:val="BodyText"/>
        <w:spacing w:line="271" w:lineRule="auto"/>
        <w:ind w:left="720" w:right="152"/>
        <w:jc w:val="both"/>
        <w:rPr>
          <w:lang w:val="en-ZA"/>
        </w:rPr>
      </w:pPr>
    </w:p>
    <w:p w14:paraId="77762E23" w14:textId="72CEF940" w:rsidR="1FBE35CE" w:rsidRPr="00403DF5" w:rsidRDefault="1FBE35CE" w:rsidP="003F111D">
      <w:pPr>
        <w:pStyle w:val="BodyText"/>
        <w:spacing w:line="271" w:lineRule="auto"/>
        <w:ind w:left="720" w:right="152"/>
        <w:jc w:val="both"/>
        <w:rPr>
          <w:rFonts w:ascii="Arial" w:hAnsi="Arial" w:cs="Arial"/>
          <w:sz w:val="22"/>
          <w:szCs w:val="22"/>
          <w:lang w:val="en-ZA"/>
        </w:rPr>
      </w:pPr>
      <w:r w:rsidRPr="00403DF5">
        <w:rPr>
          <w:rFonts w:ascii="Arial" w:hAnsi="Arial" w:cs="Arial"/>
          <w:sz w:val="22"/>
          <w:szCs w:val="22"/>
          <w:lang w:val="en-ZA"/>
        </w:rPr>
        <w:t>Any reduction of CTC denominated in a foreign currency, in relation to a class of shares, as referred to in paragraphs (</w:t>
      </w:r>
      <w:r w:rsidRPr="004B3E97">
        <w:rPr>
          <w:rFonts w:ascii="Arial" w:hAnsi="Arial" w:cs="Arial"/>
          <w:i/>
          <w:iCs/>
          <w:sz w:val="22"/>
          <w:szCs w:val="22"/>
          <w:lang w:val="en-ZA"/>
        </w:rPr>
        <w:t>a</w:t>
      </w:r>
      <w:r w:rsidRPr="00403DF5">
        <w:rPr>
          <w:rFonts w:ascii="Arial" w:hAnsi="Arial" w:cs="Arial"/>
          <w:sz w:val="22"/>
          <w:szCs w:val="22"/>
          <w:lang w:val="en-ZA"/>
        </w:rPr>
        <w:t>) or (</w:t>
      </w:r>
      <w:r w:rsidRPr="004B3E97">
        <w:rPr>
          <w:rFonts w:ascii="Arial" w:hAnsi="Arial" w:cs="Arial"/>
          <w:i/>
          <w:iCs/>
          <w:sz w:val="22"/>
          <w:szCs w:val="22"/>
          <w:lang w:val="en-ZA"/>
        </w:rPr>
        <w:t>b</w:t>
      </w:r>
      <w:r w:rsidRPr="00403DF5">
        <w:rPr>
          <w:rFonts w:ascii="Arial" w:hAnsi="Arial" w:cs="Arial"/>
          <w:sz w:val="22"/>
          <w:szCs w:val="22"/>
          <w:lang w:val="en-ZA"/>
        </w:rPr>
        <w:t>) of the definition of “contributed tax capital” in section 1 of the Act, must be translated to the currency of the Republic by applying the spot rate on the date of transfer or conversion, as the case may be, for purposes of the reduction of CTC.</w:t>
      </w:r>
    </w:p>
    <w:p w14:paraId="5EA07393" w14:textId="7AA3D7F4" w:rsidR="251BE3F0" w:rsidRPr="003F111D" w:rsidRDefault="251BE3F0" w:rsidP="251BE3F0">
      <w:pPr>
        <w:pStyle w:val="BodyText"/>
        <w:spacing w:line="271" w:lineRule="auto"/>
        <w:ind w:right="152"/>
        <w:jc w:val="both"/>
        <w:rPr>
          <w:lang w:val="en-ZA"/>
        </w:rPr>
      </w:pPr>
    </w:p>
    <w:p w14:paraId="691CB6D6" w14:textId="0805DB2B" w:rsidR="7CF4F486" w:rsidRPr="00AE58A0" w:rsidRDefault="7CF4F486" w:rsidP="00AE58A0">
      <w:pPr>
        <w:pStyle w:val="BodyText"/>
        <w:spacing w:line="271" w:lineRule="auto"/>
        <w:ind w:left="492" w:right="153"/>
        <w:jc w:val="both"/>
        <w:rPr>
          <w:rFonts w:ascii="Arial" w:hAnsi="Arial" w:cs="Arial"/>
          <w:i/>
          <w:sz w:val="22"/>
          <w:szCs w:val="22"/>
          <w:lang w:val="en-ZA"/>
        </w:rPr>
      </w:pPr>
      <w:r w:rsidRPr="00AE58A0">
        <w:rPr>
          <w:rFonts w:ascii="Arial" w:hAnsi="Arial" w:cs="Arial"/>
          <w:i/>
          <w:sz w:val="22"/>
          <w:szCs w:val="22"/>
          <w:lang w:val="en-ZA"/>
        </w:rPr>
        <w:t xml:space="preserve">Comment: </w:t>
      </w:r>
      <w:r w:rsidR="5C0C5F0B" w:rsidRPr="00403DF5">
        <w:rPr>
          <w:rFonts w:ascii="Arial" w:hAnsi="Arial" w:cs="Arial"/>
          <w:sz w:val="22"/>
          <w:szCs w:val="22"/>
          <w:lang w:val="en-ZA"/>
        </w:rPr>
        <w:t>The word ‘or’ where it appears in the proposed section 25E(b) of the Act should be replaced with ‘and’, since in the definition of CTC, paragraph (</w:t>
      </w:r>
      <w:r w:rsidR="5C0C5F0B" w:rsidRPr="004B3E97">
        <w:rPr>
          <w:rFonts w:ascii="Arial" w:hAnsi="Arial" w:cs="Arial"/>
          <w:i/>
          <w:iCs/>
          <w:sz w:val="22"/>
          <w:szCs w:val="22"/>
          <w:lang w:val="en-ZA"/>
        </w:rPr>
        <w:t>a</w:t>
      </w:r>
      <w:r w:rsidR="5C0C5F0B" w:rsidRPr="00403DF5">
        <w:rPr>
          <w:rFonts w:ascii="Arial" w:hAnsi="Arial" w:cs="Arial"/>
          <w:sz w:val="22"/>
          <w:szCs w:val="22"/>
          <w:lang w:val="en-ZA"/>
        </w:rPr>
        <w:t>)(</w:t>
      </w:r>
      <w:r w:rsidR="5C0C5F0B" w:rsidRPr="004B3E97">
        <w:rPr>
          <w:rFonts w:ascii="Arial" w:hAnsi="Arial" w:cs="Arial"/>
          <w:i/>
          <w:iCs/>
          <w:sz w:val="22"/>
          <w:szCs w:val="22"/>
          <w:lang w:val="en-ZA"/>
        </w:rPr>
        <w:t>aa</w:t>
      </w:r>
      <w:r w:rsidR="5C0C5F0B" w:rsidRPr="00403DF5">
        <w:rPr>
          <w:rFonts w:ascii="Arial" w:hAnsi="Arial" w:cs="Arial"/>
          <w:sz w:val="22"/>
          <w:szCs w:val="22"/>
          <w:lang w:val="en-ZA"/>
        </w:rPr>
        <w:t>), (</w:t>
      </w:r>
      <w:r w:rsidR="5C0C5F0B" w:rsidRPr="004B3E97">
        <w:rPr>
          <w:rFonts w:ascii="Arial" w:hAnsi="Arial" w:cs="Arial"/>
          <w:i/>
          <w:iCs/>
          <w:sz w:val="22"/>
          <w:szCs w:val="22"/>
          <w:lang w:val="en-ZA"/>
        </w:rPr>
        <w:t>bb</w:t>
      </w:r>
      <w:r w:rsidR="5C0C5F0B" w:rsidRPr="00403DF5">
        <w:rPr>
          <w:rFonts w:ascii="Arial" w:hAnsi="Arial" w:cs="Arial"/>
          <w:sz w:val="22"/>
          <w:szCs w:val="22"/>
          <w:lang w:val="en-ZA"/>
        </w:rPr>
        <w:t>) and (</w:t>
      </w:r>
      <w:r w:rsidR="5C0C5F0B" w:rsidRPr="004B3E97">
        <w:rPr>
          <w:rFonts w:ascii="Arial" w:hAnsi="Arial" w:cs="Arial"/>
          <w:i/>
          <w:iCs/>
          <w:sz w:val="22"/>
          <w:szCs w:val="22"/>
          <w:lang w:val="en-ZA"/>
        </w:rPr>
        <w:t>cc</w:t>
      </w:r>
      <w:r w:rsidR="5C0C5F0B" w:rsidRPr="00403DF5">
        <w:rPr>
          <w:rFonts w:ascii="Arial" w:hAnsi="Arial" w:cs="Arial"/>
          <w:sz w:val="22"/>
          <w:szCs w:val="22"/>
          <w:lang w:val="en-ZA"/>
        </w:rPr>
        <w:t>) and (</w:t>
      </w:r>
      <w:r w:rsidR="5C0C5F0B" w:rsidRPr="004B3E97">
        <w:rPr>
          <w:rFonts w:ascii="Arial" w:hAnsi="Arial" w:cs="Arial"/>
          <w:i/>
          <w:iCs/>
          <w:sz w:val="22"/>
          <w:szCs w:val="22"/>
          <w:lang w:val="en-ZA"/>
        </w:rPr>
        <w:t>b</w:t>
      </w:r>
      <w:r w:rsidR="5C0C5F0B" w:rsidRPr="00403DF5">
        <w:rPr>
          <w:rFonts w:ascii="Arial" w:hAnsi="Arial" w:cs="Arial"/>
          <w:sz w:val="22"/>
          <w:szCs w:val="22"/>
          <w:lang w:val="en-ZA"/>
        </w:rPr>
        <w:t>)(</w:t>
      </w:r>
      <w:r w:rsidR="5C0C5F0B" w:rsidRPr="004B3E97">
        <w:rPr>
          <w:rFonts w:ascii="Arial" w:hAnsi="Arial" w:cs="Arial"/>
          <w:i/>
          <w:iCs/>
          <w:sz w:val="22"/>
          <w:szCs w:val="22"/>
          <w:lang w:val="en-ZA"/>
        </w:rPr>
        <w:t>aa</w:t>
      </w:r>
      <w:r w:rsidR="5C0C5F0B" w:rsidRPr="00403DF5">
        <w:rPr>
          <w:rFonts w:ascii="Arial" w:hAnsi="Arial" w:cs="Arial"/>
          <w:sz w:val="22"/>
          <w:szCs w:val="22"/>
          <w:lang w:val="en-ZA"/>
        </w:rPr>
        <w:t>), (</w:t>
      </w:r>
      <w:r w:rsidR="5C0C5F0B" w:rsidRPr="004B3E97">
        <w:rPr>
          <w:rFonts w:ascii="Arial" w:hAnsi="Arial" w:cs="Arial"/>
          <w:i/>
          <w:iCs/>
          <w:sz w:val="22"/>
          <w:szCs w:val="22"/>
          <w:lang w:val="en-ZA"/>
        </w:rPr>
        <w:t>bb</w:t>
      </w:r>
      <w:r w:rsidR="5C0C5F0B" w:rsidRPr="00403DF5">
        <w:rPr>
          <w:rFonts w:ascii="Arial" w:hAnsi="Arial" w:cs="Arial"/>
          <w:sz w:val="22"/>
          <w:szCs w:val="22"/>
          <w:lang w:val="en-ZA"/>
        </w:rPr>
        <w:t>) and (</w:t>
      </w:r>
      <w:r w:rsidR="5C0C5F0B" w:rsidRPr="00DB3B7F">
        <w:rPr>
          <w:rFonts w:ascii="Arial" w:hAnsi="Arial" w:cs="Arial"/>
          <w:i/>
          <w:iCs/>
          <w:sz w:val="22"/>
          <w:szCs w:val="22"/>
          <w:lang w:val="en-ZA"/>
        </w:rPr>
        <w:t>cc</w:t>
      </w:r>
      <w:r w:rsidR="5C0C5F0B" w:rsidRPr="00403DF5">
        <w:rPr>
          <w:rFonts w:ascii="Arial" w:hAnsi="Arial" w:cs="Arial"/>
          <w:sz w:val="22"/>
          <w:szCs w:val="22"/>
          <w:lang w:val="en-ZA"/>
        </w:rPr>
        <w:t>) are set conjunctively. It should thus read: “… and any amount referred to in paragraph (</w:t>
      </w:r>
      <w:r w:rsidR="5C0C5F0B" w:rsidRPr="004B3E97">
        <w:rPr>
          <w:rFonts w:ascii="Arial" w:hAnsi="Arial" w:cs="Arial"/>
          <w:i/>
          <w:iCs/>
          <w:sz w:val="22"/>
          <w:szCs w:val="22"/>
          <w:lang w:val="en-ZA"/>
        </w:rPr>
        <w:t>a</w:t>
      </w:r>
      <w:r w:rsidR="5C0C5F0B" w:rsidRPr="00403DF5">
        <w:rPr>
          <w:rFonts w:ascii="Arial" w:hAnsi="Arial" w:cs="Arial"/>
          <w:sz w:val="22"/>
          <w:szCs w:val="22"/>
          <w:lang w:val="en-ZA"/>
        </w:rPr>
        <w:t>)(</w:t>
      </w:r>
      <w:r w:rsidR="5C0C5F0B" w:rsidRPr="004B3E97">
        <w:rPr>
          <w:rFonts w:ascii="Arial" w:hAnsi="Arial" w:cs="Arial"/>
          <w:i/>
          <w:iCs/>
          <w:sz w:val="22"/>
          <w:szCs w:val="22"/>
          <w:lang w:val="en-ZA"/>
        </w:rPr>
        <w:t>aa</w:t>
      </w:r>
      <w:r w:rsidR="5C0C5F0B" w:rsidRPr="00403DF5">
        <w:rPr>
          <w:rFonts w:ascii="Arial" w:hAnsi="Arial" w:cs="Arial"/>
          <w:sz w:val="22"/>
          <w:szCs w:val="22"/>
          <w:lang w:val="en-ZA"/>
        </w:rPr>
        <w:t>), (</w:t>
      </w:r>
      <w:r w:rsidR="5C0C5F0B" w:rsidRPr="004B3E97">
        <w:rPr>
          <w:rFonts w:ascii="Arial" w:hAnsi="Arial" w:cs="Arial"/>
          <w:i/>
          <w:iCs/>
          <w:sz w:val="22"/>
          <w:szCs w:val="22"/>
          <w:lang w:val="en-ZA"/>
        </w:rPr>
        <w:t>bb</w:t>
      </w:r>
      <w:r w:rsidR="5C0C5F0B" w:rsidRPr="00403DF5">
        <w:rPr>
          <w:rFonts w:ascii="Arial" w:hAnsi="Arial" w:cs="Arial"/>
          <w:sz w:val="22"/>
          <w:szCs w:val="22"/>
          <w:lang w:val="en-ZA"/>
        </w:rPr>
        <w:t>) and (</w:t>
      </w:r>
      <w:r w:rsidR="5C0C5F0B" w:rsidRPr="004B3E97">
        <w:rPr>
          <w:rFonts w:ascii="Arial" w:hAnsi="Arial" w:cs="Arial"/>
          <w:i/>
          <w:iCs/>
          <w:sz w:val="22"/>
          <w:szCs w:val="22"/>
          <w:lang w:val="en-ZA"/>
        </w:rPr>
        <w:t>cc</w:t>
      </w:r>
      <w:r w:rsidR="5C0C5F0B" w:rsidRPr="00403DF5">
        <w:rPr>
          <w:rFonts w:ascii="Arial" w:hAnsi="Arial" w:cs="Arial"/>
          <w:sz w:val="22"/>
          <w:szCs w:val="22"/>
          <w:lang w:val="en-ZA"/>
        </w:rPr>
        <w:t>) or(</w:t>
      </w:r>
      <w:r w:rsidR="5C0C5F0B" w:rsidRPr="004B3E97">
        <w:rPr>
          <w:rFonts w:ascii="Arial" w:hAnsi="Arial" w:cs="Arial"/>
          <w:i/>
          <w:iCs/>
          <w:sz w:val="22"/>
          <w:szCs w:val="22"/>
          <w:lang w:val="en-ZA"/>
        </w:rPr>
        <w:t>b</w:t>
      </w:r>
      <w:r w:rsidR="5C0C5F0B" w:rsidRPr="00403DF5">
        <w:rPr>
          <w:rFonts w:ascii="Arial" w:hAnsi="Arial" w:cs="Arial"/>
          <w:sz w:val="22"/>
          <w:szCs w:val="22"/>
          <w:lang w:val="en-ZA"/>
        </w:rPr>
        <w:t>)(</w:t>
      </w:r>
      <w:r w:rsidR="5C0C5F0B" w:rsidRPr="004B3E97">
        <w:rPr>
          <w:rFonts w:ascii="Arial" w:hAnsi="Arial" w:cs="Arial"/>
          <w:i/>
          <w:iCs/>
          <w:sz w:val="22"/>
          <w:szCs w:val="22"/>
          <w:lang w:val="en-ZA"/>
        </w:rPr>
        <w:t>aa</w:t>
      </w:r>
      <w:r w:rsidR="5C0C5F0B" w:rsidRPr="00403DF5">
        <w:rPr>
          <w:rFonts w:ascii="Arial" w:hAnsi="Arial" w:cs="Arial"/>
          <w:sz w:val="22"/>
          <w:szCs w:val="22"/>
          <w:lang w:val="en-ZA"/>
        </w:rPr>
        <w:t>), (</w:t>
      </w:r>
      <w:r w:rsidR="5C0C5F0B" w:rsidRPr="004B3E97">
        <w:rPr>
          <w:rFonts w:ascii="Arial" w:hAnsi="Arial" w:cs="Arial"/>
          <w:i/>
          <w:iCs/>
          <w:sz w:val="22"/>
          <w:szCs w:val="22"/>
          <w:lang w:val="en-ZA"/>
        </w:rPr>
        <w:t>bb</w:t>
      </w:r>
      <w:r w:rsidR="5C0C5F0B" w:rsidRPr="00403DF5">
        <w:rPr>
          <w:rFonts w:ascii="Arial" w:hAnsi="Arial" w:cs="Arial"/>
          <w:sz w:val="22"/>
          <w:szCs w:val="22"/>
          <w:lang w:val="en-ZA"/>
        </w:rPr>
        <w:t>) and (</w:t>
      </w:r>
      <w:r w:rsidR="5C0C5F0B" w:rsidRPr="004B3E97">
        <w:rPr>
          <w:rFonts w:ascii="Arial" w:hAnsi="Arial" w:cs="Arial"/>
          <w:i/>
          <w:iCs/>
          <w:sz w:val="22"/>
          <w:szCs w:val="22"/>
          <w:lang w:val="en-ZA"/>
        </w:rPr>
        <w:t>cc</w:t>
      </w:r>
      <w:r w:rsidR="5C0C5F0B" w:rsidRPr="00403DF5">
        <w:rPr>
          <w:rFonts w:ascii="Arial" w:hAnsi="Arial" w:cs="Arial"/>
          <w:sz w:val="22"/>
          <w:szCs w:val="22"/>
          <w:lang w:val="en-ZA"/>
        </w:rPr>
        <w:t>) of the definition of ‘contributed tax capital’...”</w:t>
      </w:r>
    </w:p>
    <w:p w14:paraId="277A61C7" w14:textId="32DFF814" w:rsidR="251BE3F0" w:rsidRPr="003F111D" w:rsidRDefault="251BE3F0" w:rsidP="251BE3F0">
      <w:pPr>
        <w:pStyle w:val="BodyText"/>
        <w:spacing w:line="271" w:lineRule="auto"/>
        <w:ind w:right="152"/>
        <w:jc w:val="both"/>
        <w:rPr>
          <w:lang w:val="en-ZA"/>
        </w:rPr>
      </w:pPr>
    </w:p>
    <w:p w14:paraId="108E8DD5" w14:textId="7C91D01C" w:rsidR="5040F64F" w:rsidRPr="003F111D" w:rsidRDefault="5040F64F" w:rsidP="003F111D">
      <w:pPr>
        <w:pStyle w:val="BodyText"/>
        <w:spacing w:line="271" w:lineRule="auto"/>
        <w:ind w:left="831" w:right="152"/>
        <w:jc w:val="both"/>
        <w:rPr>
          <w:rFonts w:ascii="Arial" w:hAnsi="Arial" w:cs="Arial"/>
          <w:i/>
          <w:sz w:val="22"/>
          <w:szCs w:val="22"/>
          <w:lang w:val="en-ZA"/>
        </w:rPr>
      </w:pPr>
      <w:r w:rsidRPr="003F111D">
        <w:rPr>
          <w:rFonts w:ascii="Arial" w:hAnsi="Arial" w:cs="Arial"/>
          <w:i/>
          <w:sz w:val="22"/>
          <w:szCs w:val="22"/>
          <w:lang w:val="en-ZA"/>
        </w:rPr>
        <w:t xml:space="preserve">Response: </w:t>
      </w:r>
      <w:r w:rsidRPr="00403DF5">
        <w:rPr>
          <w:rFonts w:ascii="Arial" w:hAnsi="Arial" w:cs="Arial"/>
          <w:sz w:val="22"/>
          <w:szCs w:val="22"/>
          <w:u w:val="single"/>
          <w:lang w:val="en-ZA"/>
        </w:rPr>
        <w:t>Not accepted</w:t>
      </w:r>
      <w:r w:rsidRPr="00403DF5">
        <w:rPr>
          <w:rFonts w:ascii="Arial" w:hAnsi="Arial" w:cs="Arial"/>
          <w:sz w:val="22"/>
          <w:szCs w:val="22"/>
          <w:lang w:val="en-ZA"/>
        </w:rPr>
        <w:t>. Intentional design as the application of section 25E of the Act should find application at the date on which that amount must be taken into account for purposes of the determination of CTC</w:t>
      </w:r>
      <w:r w:rsidR="47D7D55A" w:rsidRPr="00403DF5">
        <w:rPr>
          <w:rFonts w:ascii="Arial" w:hAnsi="Arial" w:cs="Arial"/>
          <w:sz w:val="22"/>
          <w:szCs w:val="22"/>
          <w:lang w:val="en-ZA"/>
        </w:rPr>
        <w:t>. Had it been an</w:t>
      </w:r>
      <w:r w:rsidRPr="00403DF5">
        <w:rPr>
          <w:rFonts w:ascii="Arial" w:hAnsi="Arial" w:cs="Arial"/>
          <w:sz w:val="22"/>
          <w:szCs w:val="22"/>
          <w:lang w:val="en-ZA"/>
        </w:rPr>
        <w:t xml:space="preserve"> “and” application, then</w:t>
      </w:r>
      <w:r w:rsidR="754FA93F" w:rsidRPr="00403DF5">
        <w:rPr>
          <w:rFonts w:ascii="Arial" w:hAnsi="Arial" w:cs="Arial"/>
          <w:sz w:val="22"/>
          <w:szCs w:val="22"/>
          <w:lang w:val="en-ZA"/>
        </w:rPr>
        <w:t xml:space="preserve"> </w:t>
      </w:r>
      <w:r w:rsidR="4CE70C80" w:rsidRPr="00403DF5">
        <w:rPr>
          <w:rFonts w:ascii="Arial" w:hAnsi="Arial" w:cs="Arial"/>
          <w:sz w:val="22"/>
          <w:szCs w:val="22"/>
          <w:lang w:val="en-ZA"/>
        </w:rPr>
        <w:t xml:space="preserve">the </w:t>
      </w:r>
      <w:r w:rsidRPr="00403DF5">
        <w:rPr>
          <w:rFonts w:ascii="Arial" w:hAnsi="Arial" w:cs="Arial"/>
          <w:sz w:val="22"/>
          <w:szCs w:val="22"/>
          <w:lang w:val="en-ZA"/>
        </w:rPr>
        <w:t xml:space="preserve">creation, conversion and distribution </w:t>
      </w:r>
      <w:r w:rsidR="350FA2EE" w:rsidRPr="00403DF5">
        <w:rPr>
          <w:rFonts w:ascii="Arial" w:hAnsi="Arial" w:cs="Arial"/>
          <w:sz w:val="22"/>
          <w:szCs w:val="22"/>
          <w:lang w:val="en-ZA"/>
        </w:rPr>
        <w:t xml:space="preserve">of CTC </w:t>
      </w:r>
      <w:r w:rsidR="4E8FD0F4" w:rsidRPr="00403DF5">
        <w:rPr>
          <w:rFonts w:ascii="Arial" w:hAnsi="Arial" w:cs="Arial"/>
          <w:sz w:val="22"/>
          <w:szCs w:val="22"/>
          <w:lang w:val="en-ZA"/>
        </w:rPr>
        <w:t>contemplated in the definitio</w:t>
      </w:r>
      <w:r w:rsidR="2F855CF5" w:rsidRPr="00403DF5">
        <w:rPr>
          <w:rFonts w:ascii="Arial" w:hAnsi="Arial" w:cs="Arial"/>
          <w:sz w:val="22"/>
          <w:szCs w:val="22"/>
          <w:lang w:val="en-ZA"/>
        </w:rPr>
        <w:t>n</w:t>
      </w:r>
      <w:r w:rsidR="4E8FD0F4" w:rsidRPr="00403DF5">
        <w:rPr>
          <w:rFonts w:ascii="Arial" w:hAnsi="Arial" w:cs="Arial"/>
          <w:sz w:val="22"/>
          <w:szCs w:val="22"/>
          <w:lang w:val="en-ZA"/>
        </w:rPr>
        <w:t xml:space="preserve"> of CTC </w:t>
      </w:r>
      <w:r w:rsidRPr="00403DF5">
        <w:rPr>
          <w:rFonts w:ascii="Arial" w:hAnsi="Arial" w:cs="Arial"/>
          <w:sz w:val="22"/>
          <w:szCs w:val="22"/>
          <w:lang w:val="en-ZA"/>
        </w:rPr>
        <w:t xml:space="preserve">would </w:t>
      </w:r>
      <w:r w:rsidR="6812F099" w:rsidRPr="00403DF5">
        <w:rPr>
          <w:rFonts w:ascii="Arial" w:hAnsi="Arial" w:cs="Arial"/>
          <w:sz w:val="22"/>
          <w:szCs w:val="22"/>
          <w:lang w:val="en-ZA"/>
        </w:rPr>
        <w:t xml:space="preserve">all </w:t>
      </w:r>
      <w:r w:rsidRPr="00403DF5">
        <w:rPr>
          <w:rFonts w:ascii="Arial" w:hAnsi="Arial" w:cs="Arial"/>
          <w:sz w:val="22"/>
          <w:szCs w:val="22"/>
          <w:lang w:val="en-ZA"/>
        </w:rPr>
        <w:t xml:space="preserve">have </w:t>
      </w:r>
      <w:r w:rsidR="7CF9AF87" w:rsidRPr="00403DF5">
        <w:rPr>
          <w:rFonts w:ascii="Arial" w:hAnsi="Arial" w:cs="Arial"/>
          <w:sz w:val="22"/>
          <w:szCs w:val="22"/>
          <w:lang w:val="en-ZA"/>
        </w:rPr>
        <w:t>to</w:t>
      </w:r>
      <w:r w:rsidRPr="00403DF5">
        <w:rPr>
          <w:rFonts w:ascii="Arial" w:hAnsi="Arial" w:cs="Arial"/>
          <w:sz w:val="22"/>
          <w:szCs w:val="22"/>
          <w:lang w:val="en-ZA"/>
        </w:rPr>
        <w:t xml:space="preserve"> apply first</w:t>
      </w:r>
      <w:r w:rsidR="7A861252" w:rsidRPr="00403DF5">
        <w:rPr>
          <w:rFonts w:ascii="Arial" w:hAnsi="Arial" w:cs="Arial"/>
          <w:sz w:val="22"/>
          <w:szCs w:val="22"/>
          <w:lang w:val="en-ZA"/>
        </w:rPr>
        <w:t xml:space="preserve"> before </w:t>
      </w:r>
      <w:r w:rsidR="0B96286D" w:rsidRPr="00403DF5">
        <w:rPr>
          <w:rFonts w:ascii="Arial" w:hAnsi="Arial" w:cs="Arial"/>
          <w:sz w:val="22"/>
          <w:szCs w:val="22"/>
          <w:lang w:val="en-ZA"/>
        </w:rPr>
        <w:t xml:space="preserve">the conversion </w:t>
      </w:r>
      <w:r w:rsidR="7A861252" w:rsidRPr="00403DF5">
        <w:rPr>
          <w:rFonts w:ascii="Arial" w:hAnsi="Arial" w:cs="Arial"/>
          <w:sz w:val="22"/>
          <w:szCs w:val="22"/>
          <w:lang w:val="en-ZA"/>
        </w:rPr>
        <w:t>could</w:t>
      </w:r>
      <w:r w:rsidR="000E6897">
        <w:rPr>
          <w:rFonts w:ascii="Arial" w:hAnsi="Arial" w:cs="Arial"/>
          <w:sz w:val="22"/>
          <w:szCs w:val="22"/>
          <w:lang w:val="en-ZA"/>
        </w:rPr>
        <w:t xml:space="preserve"> </w:t>
      </w:r>
      <w:r w:rsidR="7A861252" w:rsidRPr="00403DF5">
        <w:rPr>
          <w:rFonts w:ascii="Arial" w:hAnsi="Arial" w:cs="Arial"/>
          <w:sz w:val="22"/>
          <w:szCs w:val="22"/>
          <w:lang w:val="en-ZA"/>
        </w:rPr>
        <w:t>be applied.</w:t>
      </w:r>
    </w:p>
    <w:p w14:paraId="63E3E38B" w14:textId="2933F18E" w:rsidR="251BE3F0" w:rsidRPr="003F111D" w:rsidRDefault="251BE3F0" w:rsidP="251BE3F0">
      <w:pPr>
        <w:pStyle w:val="BodyText"/>
        <w:spacing w:line="271" w:lineRule="auto"/>
        <w:ind w:right="152"/>
        <w:jc w:val="both"/>
        <w:rPr>
          <w:lang w:val="en-ZA"/>
        </w:rPr>
      </w:pPr>
    </w:p>
    <w:p w14:paraId="5B04778F" w14:textId="77777777" w:rsidR="00375F5E" w:rsidRPr="004C639D" w:rsidRDefault="454DE0F2" w:rsidP="00F027A2">
      <w:pPr>
        <w:pStyle w:val="1Section"/>
        <w:numPr>
          <w:ilvl w:val="0"/>
          <w:numId w:val="37"/>
        </w:numPr>
        <w:spacing w:line="276" w:lineRule="auto"/>
        <w:ind w:left="450" w:hanging="360"/>
      </w:pPr>
      <w:bookmarkStart w:id="74" w:name="_Toc189212116"/>
      <w:r w:rsidRPr="004C639D">
        <w:t>INCOME TAX: TAXATION OF FINANCIAL INSTITUTIONS AND PRODUCTS</w:t>
      </w:r>
      <w:bookmarkEnd w:id="74"/>
    </w:p>
    <w:p w14:paraId="556B8F13" w14:textId="77777777" w:rsidR="00375F5E" w:rsidRPr="004C639D" w:rsidRDefault="00375F5E" w:rsidP="251BE3F0">
      <w:pPr>
        <w:pStyle w:val="BodyText"/>
        <w:rPr>
          <w:rFonts w:ascii="Arial"/>
          <w:b/>
          <w:bCs/>
          <w:sz w:val="24"/>
          <w:szCs w:val="24"/>
          <w:lang w:val="en-ZA"/>
        </w:rPr>
      </w:pPr>
    </w:p>
    <w:p w14:paraId="729F358B" w14:textId="77777777" w:rsidR="00375F5E" w:rsidRPr="00403DF5" w:rsidRDefault="454DE0F2" w:rsidP="008437F0">
      <w:pPr>
        <w:pStyle w:val="Heading3"/>
        <w:numPr>
          <w:ilvl w:val="1"/>
          <w:numId w:val="37"/>
        </w:numPr>
        <w:tabs>
          <w:tab w:val="left" w:pos="961"/>
        </w:tabs>
        <w:spacing w:before="0"/>
        <w:rPr>
          <w:sz w:val="22"/>
          <w:szCs w:val="22"/>
          <w:lang w:val="en-ZA"/>
        </w:rPr>
      </w:pPr>
      <w:bookmarkStart w:id="75" w:name="_Toc189212117"/>
      <w:r w:rsidRPr="00403DF5">
        <w:rPr>
          <w:sz w:val="22"/>
          <w:szCs w:val="22"/>
          <w:lang w:val="en-ZA"/>
        </w:rPr>
        <w:t>Impact of IFRS17 insurance contracts on the taxation of short term and long- term insurers</w:t>
      </w:r>
      <w:bookmarkEnd w:id="75"/>
    </w:p>
    <w:p w14:paraId="31BC8B47" w14:textId="003D4561" w:rsidR="00005035" w:rsidRPr="00403DF5" w:rsidRDefault="19A0E5B3" w:rsidP="00005035">
      <w:pPr>
        <w:pStyle w:val="BodyText"/>
        <w:spacing w:before="158"/>
        <w:ind w:left="555"/>
        <w:jc w:val="both"/>
        <w:rPr>
          <w:rFonts w:ascii="Arial" w:hAnsi="Arial" w:cs="Arial"/>
          <w:sz w:val="22"/>
          <w:szCs w:val="22"/>
          <w:lang w:val="en-ZA"/>
        </w:rPr>
      </w:pPr>
      <w:r w:rsidRPr="00403DF5">
        <w:rPr>
          <w:rFonts w:ascii="Arial" w:hAnsi="Arial" w:cs="Arial"/>
          <w:sz w:val="22"/>
          <w:szCs w:val="22"/>
          <w:lang w:val="en-ZA"/>
        </w:rPr>
        <w:t>(Main reference: Section 28 and 29A of the Income Tax Act: Clause</w:t>
      </w:r>
      <w:r w:rsidR="14BA984A" w:rsidRPr="00403DF5">
        <w:rPr>
          <w:rFonts w:ascii="Arial" w:hAnsi="Arial" w:cs="Arial"/>
          <w:sz w:val="22"/>
          <w:szCs w:val="22"/>
          <w:lang w:val="en-ZA"/>
        </w:rPr>
        <w:t>s</w:t>
      </w:r>
      <w:r w:rsidRPr="00403DF5">
        <w:rPr>
          <w:rFonts w:ascii="Arial" w:hAnsi="Arial" w:cs="Arial"/>
          <w:sz w:val="22"/>
          <w:szCs w:val="22"/>
          <w:lang w:val="en-ZA"/>
        </w:rPr>
        <w:t xml:space="preserve"> </w:t>
      </w:r>
      <w:r w:rsidR="2F45F408" w:rsidRPr="00403DF5">
        <w:rPr>
          <w:rFonts w:ascii="Arial" w:hAnsi="Arial" w:cs="Arial"/>
          <w:sz w:val="22"/>
          <w:szCs w:val="22"/>
          <w:lang w:val="en-ZA"/>
        </w:rPr>
        <w:t>24</w:t>
      </w:r>
      <w:r w:rsidR="0051794C" w:rsidRPr="00403DF5">
        <w:rPr>
          <w:rFonts w:ascii="Arial" w:hAnsi="Arial" w:cs="Arial"/>
          <w:sz w:val="22"/>
          <w:szCs w:val="22"/>
          <w:lang w:val="en-ZA"/>
        </w:rPr>
        <w:t xml:space="preserve"> </w:t>
      </w:r>
      <w:r w:rsidRPr="00403DF5">
        <w:rPr>
          <w:rFonts w:ascii="Arial" w:hAnsi="Arial" w:cs="Arial"/>
          <w:sz w:val="22"/>
          <w:szCs w:val="22"/>
          <w:lang w:val="en-ZA"/>
        </w:rPr>
        <w:t xml:space="preserve">and </w:t>
      </w:r>
      <w:r w:rsidR="293D8C3D" w:rsidRPr="00403DF5">
        <w:rPr>
          <w:rFonts w:ascii="Arial" w:hAnsi="Arial" w:cs="Arial"/>
          <w:sz w:val="22"/>
          <w:szCs w:val="22"/>
          <w:lang w:val="en-ZA"/>
        </w:rPr>
        <w:t>25</w:t>
      </w:r>
      <w:r w:rsidRPr="00403DF5">
        <w:rPr>
          <w:rFonts w:ascii="Arial" w:hAnsi="Arial" w:cs="Arial"/>
          <w:sz w:val="22"/>
          <w:szCs w:val="22"/>
          <w:lang w:val="en-ZA"/>
        </w:rPr>
        <w:t xml:space="preserve"> of the Draft TLAB)</w:t>
      </w:r>
    </w:p>
    <w:p w14:paraId="4A170FCA" w14:textId="77777777" w:rsidR="00195633" w:rsidRPr="004C639D" w:rsidRDefault="00195633" w:rsidP="00195633">
      <w:pPr>
        <w:pStyle w:val="BodyText"/>
        <w:spacing w:before="1" w:line="271" w:lineRule="auto"/>
        <w:ind w:left="492" w:right="152"/>
        <w:jc w:val="both"/>
        <w:rPr>
          <w:lang w:val="en-ZA"/>
        </w:rPr>
      </w:pPr>
    </w:p>
    <w:p w14:paraId="0820F3C4" w14:textId="1A6F03FA" w:rsidR="00195633" w:rsidRPr="003F111D" w:rsidRDefault="360BE0F2" w:rsidP="00403DF5">
      <w:pPr>
        <w:pStyle w:val="BodyText"/>
        <w:spacing w:line="271" w:lineRule="auto"/>
        <w:ind w:left="831" w:right="152"/>
        <w:jc w:val="both"/>
        <w:rPr>
          <w:rFonts w:ascii="Arial" w:hAnsi="Arial" w:cs="Arial"/>
          <w:iCs/>
          <w:sz w:val="22"/>
          <w:szCs w:val="22"/>
          <w:lang w:val="en-ZA"/>
        </w:rPr>
      </w:pPr>
      <w:r w:rsidRPr="003F111D">
        <w:rPr>
          <w:rFonts w:ascii="Arial" w:hAnsi="Arial" w:cs="Arial"/>
          <w:iCs/>
          <w:sz w:val="22"/>
          <w:szCs w:val="22"/>
          <w:lang w:val="en-ZA"/>
        </w:rPr>
        <w:t>In May 2017, the International Accounting Standards Board issued IFRS 17 to replace IFRS 4 as the new accounting standard for insurers. In 2022, tax legislation was developed to cater for the application of IFRS 17 for the financial years of insurers starting on or after 1 January 2023. The implementation of IFRS 17 is a complex, ongoing process, with insurers now starting to report on the new standard. Given the significant adjustments required due to implementing IFRS 17, several unintended consequences have come to government’s attention and need to be addressed in the tax legislation.</w:t>
      </w:r>
    </w:p>
    <w:p w14:paraId="677B1E72" w14:textId="29692CD1" w:rsidR="00195633" w:rsidRPr="003F111D" w:rsidRDefault="00195633" w:rsidP="0038739C">
      <w:pPr>
        <w:pStyle w:val="BodyText"/>
        <w:spacing w:before="1" w:line="271" w:lineRule="auto"/>
        <w:ind w:left="492" w:right="152"/>
        <w:jc w:val="both"/>
        <w:rPr>
          <w:rFonts w:ascii="Arial" w:hAnsi="Arial" w:cs="Arial"/>
          <w:iCs/>
          <w:sz w:val="22"/>
          <w:szCs w:val="22"/>
          <w:lang w:val="en-ZA"/>
        </w:rPr>
      </w:pPr>
    </w:p>
    <w:p w14:paraId="73AD884A" w14:textId="6B2714E5" w:rsidR="00195633" w:rsidRPr="003F111D" w:rsidRDefault="360BE0F2" w:rsidP="00403DF5">
      <w:pPr>
        <w:pStyle w:val="BodyText"/>
        <w:spacing w:line="271" w:lineRule="auto"/>
        <w:ind w:left="831" w:right="152"/>
        <w:jc w:val="both"/>
        <w:rPr>
          <w:rFonts w:ascii="Arial" w:hAnsi="Arial" w:cs="Arial"/>
          <w:iCs/>
          <w:sz w:val="22"/>
          <w:szCs w:val="22"/>
          <w:lang w:val="en-ZA"/>
        </w:rPr>
      </w:pPr>
      <w:r w:rsidRPr="003F111D">
        <w:rPr>
          <w:rFonts w:ascii="Arial" w:hAnsi="Arial" w:cs="Arial"/>
          <w:iCs/>
          <w:sz w:val="22"/>
          <w:szCs w:val="22"/>
          <w:lang w:val="en-ZA"/>
        </w:rPr>
        <w:t xml:space="preserve">For example, an amendment is required to reduce an excessive phasing-in amount as a result of liabilities for remaining coverage not specifically being allowed as a deduction under the IFRS 17 tax system. </w:t>
      </w:r>
    </w:p>
    <w:p w14:paraId="7221A7E2" w14:textId="6B4D0A1A" w:rsidR="00375F5E" w:rsidRPr="004C639D" w:rsidRDefault="00375F5E" w:rsidP="2E63A198">
      <w:pPr>
        <w:pStyle w:val="BodyText"/>
        <w:spacing w:before="1" w:line="271" w:lineRule="auto"/>
        <w:ind w:left="492" w:right="152"/>
        <w:jc w:val="both"/>
        <w:rPr>
          <w:lang w:val="en-ZA"/>
        </w:rPr>
      </w:pPr>
    </w:p>
    <w:p w14:paraId="10328DE1" w14:textId="77777777" w:rsidR="00375F5E" w:rsidRPr="00403DF5" w:rsidRDefault="454DE0F2" w:rsidP="251BE3F0">
      <w:pPr>
        <w:spacing w:before="173"/>
        <w:ind w:left="154"/>
        <w:rPr>
          <w:rFonts w:ascii="Arial"/>
          <w:i/>
          <w:iCs/>
          <w:u w:val="single"/>
        </w:rPr>
      </w:pPr>
      <w:r w:rsidRPr="00403DF5">
        <w:rPr>
          <w:rFonts w:ascii="Arial"/>
          <w:i/>
          <w:iCs/>
          <w:u w:val="single"/>
        </w:rPr>
        <w:t>Comments</w:t>
      </w:r>
      <w:r w:rsidRPr="00403DF5">
        <w:rPr>
          <w:rFonts w:ascii="Arial"/>
          <w:i/>
          <w:iCs/>
          <w:spacing w:val="-11"/>
          <w:u w:val="single"/>
        </w:rPr>
        <w:t xml:space="preserve"> </w:t>
      </w:r>
      <w:r w:rsidRPr="00403DF5">
        <w:rPr>
          <w:rFonts w:ascii="Arial"/>
          <w:i/>
          <w:iCs/>
          <w:u w:val="single"/>
        </w:rPr>
        <w:t>on</w:t>
      </w:r>
      <w:r w:rsidRPr="00403DF5">
        <w:rPr>
          <w:rFonts w:ascii="Arial"/>
          <w:i/>
          <w:iCs/>
          <w:spacing w:val="-13"/>
          <w:u w:val="single"/>
        </w:rPr>
        <w:t xml:space="preserve"> </w:t>
      </w:r>
      <w:r w:rsidRPr="00403DF5">
        <w:rPr>
          <w:rFonts w:ascii="Arial"/>
          <w:i/>
          <w:iCs/>
          <w:u w:val="single"/>
        </w:rPr>
        <w:t>short</w:t>
      </w:r>
      <w:r w:rsidRPr="00403DF5">
        <w:rPr>
          <w:rFonts w:ascii="Arial"/>
          <w:i/>
          <w:iCs/>
          <w:spacing w:val="-11"/>
          <w:u w:val="single"/>
        </w:rPr>
        <w:t xml:space="preserve"> </w:t>
      </w:r>
      <w:r w:rsidRPr="00403DF5">
        <w:rPr>
          <w:rFonts w:ascii="Arial"/>
          <w:i/>
          <w:iCs/>
          <w:u w:val="single"/>
        </w:rPr>
        <w:t>term</w:t>
      </w:r>
      <w:r w:rsidRPr="00403DF5">
        <w:rPr>
          <w:rFonts w:ascii="Arial"/>
          <w:i/>
          <w:iCs/>
          <w:spacing w:val="-12"/>
          <w:u w:val="single"/>
        </w:rPr>
        <w:t xml:space="preserve"> </w:t>
      </w:r>
      <w:r w:rsidRPr="00403DF5">
        <w:rPr>
          <w:rFonts w:ascii="Arial"/>
          <w:i/>
          <w:iCs/>
          <w:u w:val="single"/>
        </w:rPr>
        <w:t>insurance</w:t>
      </w:r>
    </w:p>
    <w:p w14:paraId="25D93A0E" w14:textId="77777777" w:rsidR="00001B6D" w:rsidRPr="004C639D" w:rsidRDefault="00001B6D" w:rsidP="251BE3F0">
      <w:pPr>
        <w:spacing w:before="173"/>
        <w:ind w:left="154"/>
        <w:rPr>
          <w:rFonts w:ascii="Arial"/>
          <w:i/>
          <w:iCs/>
          <w:sz w:val="21"/>
          <w:szCs w:val="21"/>
        </w:rPr>
      </w:pPr>
    </w:p>
    <w:p w14:paraId="43837581" w14:textId="6C6D7915" w:rsidR="00375F5E" w:rsidRPr="003F111D" w:rsidRDefault="454DE0F2" w:rsidP="003F111D">
      <w:pPr>
        <w:pStyle w:val="BodyText"/>
        <w:spacing w:line="271" w:lineRule="auto"/>
        <w:ind w:left="492" w:right="153"/>
        <w:jc w:val="both"/>
        <w:rPr>
          <w:rFonts w:ascii="Arial" w:hAnsi="Arial" w:cs="Arial"/>
          <w:i/>
          <w:sz w:val="22"/>
          <w:szCs w:val="22"/>
          <w:lang w:val="en-ZA"/>
        </w:rPr>
      </w:pPr>
      <w:bookmarkStart w:id="76" w:name="_Hlk147206838"/>
      <w:r w:rsidRPr="003F111D">
        <w:rPr>
          <w:rFonts w:ascii="Arial" w:hAnsi="Arial" w:cs="Arial"/>
          <w:i/>
          <w:sz w:val="22"/>
          <w:szCs w:val="22"/>
          <w:lang w:val="en-ZA"/>
        </w:rPr>
        <w:t>Comment:</w:t>
      </w:r>
      <w:r w:rsidR="0096428C">
        <w:rPr>
          <w:rFonts w:ascii="Arial" w:hAnsi="Arial" w:cs="Arial"/>
          <w:i/>
          <w:sz w:val="22"/>
          <w:szCs w:val="22"/>
          <w:lang w:val="en-ZA"/>
        </w:rPr>
        <w:t xml:space="preserve"> </w:t>
      </w:r>
      <w:r w:rsidR="06B3B100" w:rsidRPr="00403DF5">
        <w:rPr>
          <w:rFonts w:ascii="Arial" w:hAnsi="Arial" w:cs="Arial"/>
          <w:iCs/>
          <w:sz w:val="22"/>
          <w:szCs w:val="22"/>
          <w:lang w:val="en-ZA"/>
        </w:rPr>
        <w:t>The current wording of this section mentions the inclusion of ‘the difference between amounts recoverable…’. The phrase ‘the difference between’ implies a comparison of two variables. However, only one variable, ‘amounts recoverable by that short-term insurer,’ is specified. Therefore, the phrase ‘difference between’ is unnecessary. The purpose of paragraph (a), as noted in the EM, is to include salvages and third-party recoveries in the taxable income of the short-term insurer in the year of transition, since these amounts were not previously taxed. This simply requires their inclusion in taxable income, rather than a comparison.</w:t>
      </w:r>
    </w:p>
    <w:p w14:paraId="1ADA2C73" w14:textId="77777777" w:rsidR="00375F5E" w:rsidRPr="004C639D" w:rsidRDefault="00375F5E" w:rsidP="251BE3F0">
      <w:pPr>
        <w:pStyle w:val="BodyText"/>
        <w:rPr>
          <w:sz w:val="23"/>
          <w:szCs w:val="23"/>
          <w:lang w:val="en-ZA"/>
        </w:rPr>
      </w:pPr>
    </w:p>
    <w:p w14:paraId="7BE90230" w14:textId="08E56DA1" w:rsidR="00271593" w:rsidRPr="003F111D" w:rsidRDefault="454DE0F2" w:rsidP="2ACA8997">
      <w:pPr>
        <w:pStyle w:val="BodyText"/>
        <w:spacing w:line="271" w:lineRule="auto"/>
        <w:ind w:left="831" w:right="152"/>
        <w:jc w:val="both"/>
        <w:rPr>
          <w:rFonts w:ascii="Arial" w:hAnsi="Arial" w:cs="Arial"/>
          <w:i/>
          <w:iCs/>
          <w:sz w:val="22"/>
          <w:szCs w:val="22"/>
          <w:lang w:val="en-ZA"/>
        </w:rPr>
      </w:pPr>
      <w:r w:rsidRPr="2ACA8997">
        <w:rPr>
          <w:rFonts w:ascii="Arial" w:hAnsi="Arial" w:cs="Arial"/>
          <w:i/>
          <w:iCs/>
          <w:sz w:val="22"/>
          <w:szCs w:val="22"/>
          <w:lang w:val="en-ZA"/>
        </w:rPr>
        <w:t xml:space="preserve">Response: </w:t>
      </w:r>
      <w:r w:rsidR="3C79F196" w:rsidRPr="2ACA8997">
        <w:rPr>
          <w:rFonts w:ascii="Arial" w:hAnsi="Arial" w:cs="Arial"/>
          <w:sz w:val="22"/>
          <w:szCs w:val="22"/>
          <w:u w:val="single"/>
          <w:lang w:val="en-ZA"/>
        </w:rPr>
        <w:t>Accepted</w:t>
      </w:r>
      <w:r w:rsidRPr="2ACA8997">
        <w:rPr>
          <w:rFonts w:ascii="Arial" w:hAnsi="Arial" w:cs="Arial"/>
          <w:sz w:val="22"/>
          <w:szCs w:val="22"/>
          <w:lang w:val="en-ZA"/>
        </w:rPr>
        <w:t>.</w:t>
      </w:r>
      <w:r w:rsidR="28D67F51" w:rsidRPr="2ACA8997">
        <w:rPr>
          <w:rFonts w:ascii="Arial" w:hAnsi="Arial" w:cs="Arial"/>
          <w:sz w:val="22"/>
          <w:szCs w:val="22"/>
          <w:lang w:val="en-ZA"/>
        </w:rPr>
        <w:t xml:space="preserve"> </w:t>
      </w:r>
      <w:bookmarkStart w:id="77" w:name="_Hlk148623140"/>
      <w:r w:rsidR="28D67F51" w:rsidRPr="2ACA8997">
        <w:rPr>
          <w:rFonts w:ascii="Arial" w:hAnsi="Arial" w:cs="Arial"/>
          <w:sz w:val="22"/>
          <w:szCs w:val="22"/>
          <w:lang w:val="en-ZA"/>
        </w:rPr>
        <w:t xml:space="preserve"> </w:t>
      </w:r>
      <w:bookmarkEnd w:id="77"/>
      <w:r w:rsidR="25E834B2" w:rsidRPr="2ACA8997">
        <w:rPr>
          <w:rFonts w:ascii="Arial" w:hAnsi="Arial" w:cs="Arial"/>
          <w:sz w:val="22"/>
          <w:szCs w:val="22"/>
          <w:lang w:val="en-ZA"/>
        </w:rPr>
        <w:t>The phrase ‘difference between’ will be deleted in section 28(3C)(</w:t>
      </w:r>
      <w:r w:rsidR="25E834B2" w:rsidRPr="2ACA8997">
        <w:rPr>
          <w:rFonts w:ascii="Arial" w:hAnsi="Arial" w:cs="Arial"/>
          <w:i/>
          <w:iCs/>
          <w:sz w:val="22"/>
          <w:szCs w:val="22"/>
          <w:lang w:val="en-ZA"/>
        </w:rPr>
        <w:t>a</w:t>
      </w:r>
      <w:r w:rsidR="25E834B2" w:rsidRPr="2ACA8997">
        <w:rPr>
          <w:rFonts w:ascii="Arial" w:hAnsi="Arial" w:cs="Arial"/>
          <w:sz w:val="22"/>
          <w:szCs w:val="22"/>
          <w:lang w:val="en-ZA"/>
        </w:rPr>
        <w:t>) so that it is aligned with the with the stated intention in the Explanatory Memorandum</w:t>
      </w:r>
      <w:r w:rsidR="25E834B2" w:rsidRPr="2ACA8997">
        <w:rPr>
          <w:rFonts w:ascii="Arial" w:hAnsi="Arial" w:cs="Arial"/>
          <w:i/>
          <w:iCs/>
          <w:sz w:val="22"/>
          <w:szCs w:val="22"/>
          <w:lang w:val="en-ZA"/>
        </w:rPr>
        <w:t>.</w:t>
      </w:r>
    </w:p>
    <w:p w14:paraId="3EE7F6A4" w14:textId="126DF6F4" w:rsidR="00375F5E" w:rsidRPr="004C639D" w:rsidRDefault="00375F5E" w:rsidP="003F111D">
      <w:pPr>
        <w:pStyle w:val="BodyText"/>
        <w:spacing w:before="1" w:line="273" w:lineRule="auto"/>
        <w:ind w:right="152"/>
        <w:jc w:val="both"/>
        <w:rPr>
          <w:lang w:val="en-ZA"/>
        </w:rPr>
      </w:pPr>
    </w:p>
    <w:p w14:paraId="58D7E581" w14:textId="60EBD8B7" w:rsidR="00D54C44" w:rsidRPr="003F111D" w:rsidRDefault="54F1807A" w:rsidP="003F111D">
      <w:pPr>
        <w:pStyle w:val="BodyText"/>
        <w:spacing w:line="271" w:lineRule="auto"/>
        <w:ind w:left="492" w:right="153"/>
        <w:jc w:val="both"/>
        <w:rPr>
          <w:rFonts w:ascii="Arial" w:hAnsi="Arial" w:cs="Arial"/>
          <w:i/>
          <w:sz w:val="22"/>
          <w:szCs w:val="22"/>
          <w:lang w:val="en-ZA"/>
        </w:rPr>
      </w:pPr>
      <w:bookmarkStart w:id="78" w:name="_Hlk147213099"/>
      <w:bookmarkEnd w:id="76"/>
      <w:r w:rsidRPr="003F111D">
        <w:rPr>
          <w:rFonts w:ascii="Arial" w:hAnsi="Arial" w:cs="Arial"/>
          <w:i/>
          <w:sz w:val="22"/>
          <w:szCs w:val="22"/>
          <w:lang w:val="en-ZA"/>
        </w:rPr>
        <w:t xml:space="preserve">Comment: </w:t>
      </w:r>
      <w:r w:rsidR="5C1FCE56" w:rsidRPr="00403DF5">
        <w:rPr>
          <w:rFonts w:ascii="Arial" w:hAnsi="Arial" w:cs="Arial"/>
          <w:iCs/>
          <w:sz w:val="22"/>
          <w:szCs w:val="22"/>
          <w:lang w:val="en-ZA"/>
        </w:rPr>
        <w:t>Section 28(3C)(</w:t>
      </w:r>
      <w:r w:rsidR="5C1FCE56" w:rsidRPr="00610255">
        <w:rPr>
          <w:rFonts w:ascii="Arial" w:hAnsi="Arial" w:cs="Arial"/>
          <w:i/>
          <w:sz w:val="22"/>
          <w:szCs w:val="22"/>
          <w:lang w:val="en-ZA"/>
        </w:rPr>
        <w:t>b</w:t>
      </w:r>
      <w:r w:rsidR="5C1FCE56" w:rsidRPr="00403DF5">
        <w:rPr>
          <w:rFonts w:ascii="Arial" w:hAnsi="Arial" w:cs="Arial"/>
          <w:iCs/>
          <w:sz w:val="22"/>
          <w:szCs w:val="22"/>
          <w:lang w:val="en-ZA"/>
        </w:rPr>
        <w:t>) allows for a deduction of the liability for remaining coverage (LRC), net of reinsurance, calculated for the last assessment year starting on or after January 1, 2022, but before January 1, 2023, as if IFRS 17 had been applied at the end of that assessment year. We have observed cases where the reinsurance asset related to the LRC exceeds the LRC itself, resulting in the net LRC being a net asset</w:t>
      </w:r>
      <w:r w:rsidR="5C1FCE56" w:rsidRPr="003F111D">
        <w:rPr>
          <w:rFonts w:ascii="Arial" w:hAnsi="Arial" w:cs="Arial"/>
          <w:i/>
          <w:sz w:val="22"/>
          <w:szCs w:val="22"/>
          <w:lang w:val="en-ZA"/>
        </w:rPr>
        <w:t>.</w:t>
      </w:r>
    </w:p>
    <w:p w14:paraId="6D8C664B" w14:textId="77777777" w:rsidR="00D54C44" w:rsidRPr="004C639D" w:rsidRDefault="00D54C44" w:rsidP="251BE3F0">
      <w:pPr>
        <w:pStyle w:val="BodyText"/>
        <w:rPr>
          <w:sz w:val="23"/>
          <w:szCs w:val="23"/>
          <w:lang w:val="en-ZA"/>
        </w:rPr>
      </w:pPr>
      <w:bookmarkStart w:id="79" w:name="_Hlk147212974"/>
    </w:p>
    <w:p w14:paraId="3E3D42AF" w14:textId="6FF849D2" w:rsidR="00D54C44" w:rsidRDefault="54F1807A" w:rsidP="0FE5895A">
      <w:pPr>
        <w:pStyle w:val="BodyText"/>
        <w:spacing w:line="271" w:lineRule="auto"/>
        <w:ind w:left="831" w:right="152"/>
        <w:jc w:val="both"/>
        <w:rPr>
          <w:rFonts w:ascii="Arial" w:hAnsi="Arial" w:cs="Arial"/>
          <w:sz w:val="22"/>
          <w:szCs w:val="22"/>
          <w:lang w:val="en-ZA"/>
        </w:rPr>
      </w:pPr>
      <w:bookmarkStart w:id="80" w:name="_Hlk180346663"/>
      <w:r w:rsidRPr="2ACA8997">
        <w:rPr>
          <w:rFonts w:ascii="Arial" w:hAnsi="Arial" w:cs="Arial"/>
          <w:i/>
          <w:iCs/>
          <w:sz w:val="22"/>
          <w:szCs w:val="22"/>
          <w:lang w:val="en-ZA"/>
        </w:rPr>
        <w:t>Response:</w:t>
      </w:r>
      <w:r w:rsidRPr="2ACA8997">
        <w:rPr>
          <w:rFonts w:ascii="Arial" w:hAnsi="Arial" w:cs="Arial"/>
          <w:sz w:val="22"/>
          <w:szCs w:val="22"/>
          <w:lang w:val="en-ZA"/>
        </w:rPr>
        <w:t xml:space="preserve"> </w:t>
      </w:r>
      <w:bookmarkStart w:id="81" w:name="_Hlk147248565"/>
      <w:r w:rsidR="76B97DF5" w:rsidRPr="2ACA8997">
        <w:rPr>
          <w:rFonts w:ascii="Arial" w:hAnsi="Arial" w:cs="Arial"/>
          <w:sz w:val="22"/>
          <w:szCs w:val="22"/>
          <w:u w:val="single"/>
          <w:lang w:val="en-ZA"/>
        </w:rPr>
        <w:t>Accepted</w:t>
      </w:r>
      <w:r w:rsidRPr="2ACA8997">
        <w:rPr>
          <w:rFonts w:ascii="Arial" w:hAnsi="Arial" w:cs="Arial"/>
          <w:sz w:val="22"/>
          <w:szCs w:val="22"/>
          <w:lang w:val="en-ZA"/>
        </w:rPr>
        <w:t xml:space="preserve">. </w:t>
      </w:r>
      <w:bookmarkEnd w:id="81"/>
      <w:r w:rsidR="5A057BAD" w:rsidRPr="2ACA8997">
        <w:rPr>
          <w:rFonts w:ascii="Arial" w:hAnsi="Arial" w:cs="Arial"/>
          <w:sz w:val="22"/>
          <w:szCs w:val="22"/>
          <w:lang w:val="en-ZA"/>
        </w:rPr>
        <w:t xml:space="preserve"> </w:t>
      </w:r>
      <w:r w:rsidR="78C9FF77" w:rsidRPr="2ACA8997">
        <w:rPr>
          <w:rFonts w:ascii="Arial" w:hAnsi="Arial" w:cs="Arial"/>
          <w:sz w:val="22"/>
          <w:szCs w:val="22"/>
          <w:lang w:val="en-ZA"/>
        </w:rPr>
        <w:t>The wording of section 28(3C)(b) will be revised to address situations where the net LRC amount is a net asset, rather than a net liability.</w:t>
      </w:r>
    </w:p>
    <w:p w14:paraId="5F6455E2" w14:textId="77777777" w:rsidR="0096428C" w:rsidRPr="00403DF5" w:rsidRDefault="0096428C" w:rsidP="003F111D">
      <w:pPr>
        <w:pStyle w:val="BodyText"/>
        <w:spacing w:line="271" w:lineRule="auto"/>
        <w:ind w:left="831" w:right="152"/>
        <w:jc w:val="both"/>
        <w:rPr>
          <w:rFonts w:ascii="Arial" w:hAnsi="Arial" w:cs="Arial"/>
          <w:iCs/>
          <w:sz w:val="22"/>
          <w:szCs w:val="22"/>
          <w:lang w:val="en-ZA"/>
        </w:rPr>
      </w:pPr>
    </w:p>
    <w:bookmarkEnd w:id="78"/>
    <w:bookmarkEnd w:id="79"/>
    <w:bookmarkEnd w:id="80"/>
    <w:p w14:paraId="5848187E" w14:textId="43E232D4" w:rsidR="00484B59" w:rsidRPr="00403DF5" w:rsidRDefault="56ABB28F" w:rsidP="00403DF5">
      <w:pPr>
        <w:pStyle w:val="BodyText"/>
        <w:spacing w:line="271" w:lineRule="auto"/>
        <w:ind w:left="492" w:right="153"/>
        <w:jc w:val="both"/>
        <w:rPr>
          <w:rFonts w:ascii="Arial" w:hAnsi="Arial" w:cs="Arial"/>
          <w:iCs/>
          <w:sz w:val="22"/>
          <w:szCs w:val="22"/>
          <w:lang w:val="en-ZA"/>
        </w:rPr>
      </w:pPr>
      <w:r w:rsidRPr="0096428C">
        <w:rPr>
          <w:rFonts w:ascii="Arial" w:hAnsi="Arial" w:cs="Arial"/>
          <w:i/>
          <w:sz w:val="22"/>
          <w:szCs w:val="22"/>
          <w:lang w:val="en-ZA"/>
        </w:rPr>
        <w:t xml:space="preserve">Comment: </w:t>
      </w:r>
      <w:r w:rsidR="7FE2C3B3" w:rsidRPr="00403DF5">
        <w:rPr>
          <w:rFonts w:ascii="Arial" w:hAnsi="Arial" w:cs="Arial"/>
          <w:iCs/>
          <w:sz w:val="22"/>
          <w:szCs w:val="22"/>
          <w:lang w:val="en-ZA"/>
        </w:rPr>
        <w:t>Section 28(3C)(</w:t>
      </w:r>
      <w:r w:rsidR="7FE2C3B3" w:rsidRPr="00610255">
        <w:rPr>
          <w:rFonts w:ascii="Arial" w:hAnsi="Arial" w:cs="Arial"/>
          <w:i/>
          <w:sz w:val="22"/>
          <w:szCs w:val="22"/>
          <w:lang w:val="en-ZA"/>
        </w:rPr>
        <w:t>c</w:t>
      </w:r>
      <w:r w:rsidR="7FE2C3B3" w:rsidRPr="00403DF5">
        <w:rPr>
          <w:rFonts w:ascii="Arial" w:hAnsi="Arial" w:cs="Arial"/>
          <w:iCs/>
          <w:sz w:val="22"/>
          <w:szCs w:val="22"/>
          <w:lang w:val="en-ZA"/>
        </w:rPr>
        <w:t>) allows for a deduction of the net amounts of insurance premium or reinsurance premium debtors, and reinsurance premium payables, considered in determining the liabilities for remaining coverage at the end of the most recent assessment year starting on or after January 1, 2022, but before January 1, 2023, as if IFRS 17 had been applied at the end of that year. Paragraph (</w:t>
      </w:r>
      <w:r w:rsidR="7FE2C3B3" w:rsidRPr="009D1A25">
        <w:rPr>
          <w:rFonts w:ascii="Arial" w:hAnsi="Arial" w:cs="Arial"/>
          <w:i/>
          <w:sz w:val="22"/>
          <w:szCs w:val="22"/>
          <w:lang w:val="en-ZA"/>
        </w:rPr>
        <w:t>c</w:t>
      </w:r>
      <w:r w:rsidR="7FE2C3B3" w:rsidRPr="00403DF5">
        <w:rPr>
          <w:rFonts w:ascii="Arial" w:hAnsi="Arial" w:cs="Arial"/>
          <w:iCs/>
          <w:sz w:val="22"/>
          <w:szCs w:val="22"/>
          <w:lang w:val="en-ZA"/>
        </w:rPr>
        <w:t>) assumes that the total of the insurance premium debtor and reinsurance premium debtor will exceed the reinsurance premium payable, resulting in a net debtor position. However, we have observed cases where the outcome is a net creditor position (i.e., payables exceed receivables), which would typically lead to an inclusion in taxable income.</w:t>
      </w:r>
    </w:p>
    <w:p w14:paraId="73CEB2F6" w14:textId="77777777" w:rsidR="0038739C" w:rsidRPr="004C639D" w:rsidRDefault="0038739C" w:rsidP="0038739C">
      <w:pPr>
        <w:pStyle w:val="BodyText"/>
        <w:spacing w:before="1" w:line="273" w:lineRule="auto"/>
        <w:ind w:left="492" w:right="152"/>
        <w:jc w:val="both"/>
        <w:rPr>
          <w:rFonts w:ascii="Arial"/>
          <w:i/>
          <w:iCs/>
          <w:lang w:val="en-ZA"/>
        </w:rPr>
      </w:pPr>
    </w:p>
    <w:p w14:paraId="3488A204" w14:textId="14A265ED" w:rsidR="0038739C" w:rsidRPr="003F111D" w:rsidRDefault="0038739C" w:rsidP="003F111D">
      <w:pPr>
        <w:pStyle w:val="BodyText"/>
        <w:spacing w:line="271" w:lineRule="auto"/>
        <w:ind w:left="831" w:right="152"/>
        <w:jc w:val="both"/>
        <w:rPr>
          <w:rFonts w:ascii="Arial" w:hAnsi="Arial" w:cs="Arial"/>
          <w:i/>
          <w:sz w:val="22"/>
          <w:szCs w:val="22"/>
          <w:lang w:val="en-ZA"/>
        </w:rPr>
      </w:pPr>
      <w:r w:rsidRPr="003F111D">
        <w:rPr>
          <w:rFonts w:ascii="Arial" w:hAnsi="Arial" w:cs="Arial"/>
          <w:i/>
          <w:sz w:val="22"/>
          <w:szCs w:val="22"/>
          <w:lang w:val="en-ZA"/>
        </w:rPr>
        <w:t xml:space="preserve">Response: </w:t>
      </w:r>
      <w:r w:rsidRPr="00403DF5">
        <w:rPr>
          <w:rFonts w:ascii="Arial" w:hAnsi="Arial" w:cs="Arial"/>
          <w:iCs/>
          <w:sz w:val="22"/>
          <w:szCs w:val="22"/>
          <w:u w:val="single"/>
          <w:lang w:val="en-ZA"/>
        </w:rPr>
        <w:t>Accepted</w:t>
      </w:r>
      <w:r w:rsidRPr="00403DF5">
        <w:rPr>
          <w:rFonts w:ascii="Arial" w:hAnsi="Arial" w:cs="Arial"/>
          <w:iCs/>
          <w:sz w:val="22"/>
          <w:szCs w:val="22"/>
          <w:lang w:val="en-ZA"/>
        </w:rPr>
        <w:t>.</w:t>
      </w:r>
      <w:r w:rsidR="008475B2">
        <w:rPr>
          <w:rFonts w:ascii="Arial" w:hAnsi="Arial" w:cs="Arial"/>
          <w:iCs/>
          <w:sz w:val="22"/>
          <w:szCs w:val="22"/>
          <w:lang w:val="en-ZA"/>
        </w:rPr>
        <w:t xml:space="preserve"> </w:t>
      </w:r>
      <w:r w:rsidRPr="00403DF5">
        <w:rPr>
          <w:rFonts w:ascii="Arial" w:hAnsi="Arial" w:cs="Arial"/>
          <w:iCs/>
          <w:sz w:val="22"/>
          <w:szCs w:val="22"/>
          <w:lang w:val="en-ZA"/>
        </w:rPr>
        <w:t>Section 28(3C)(</w:t>
      </w:r>
      <w:r w:rsidRPr="00610255">
        <w:rPr>
          <w:rFonts w:ascii="Arial" w:hAnsi="Arial" w:cs="Arial"/>
          <w:i/>
          <w:sz w:val="22"/>
          <w:szCs w:val="22"/>
          <w:lang w:val="en-ZA"/>
        </w:rPr>
        <w:t>c</w:t>
      </w:r>
      <w:r w:rsidRPr="00403DF5">
        <w:rPr>
          <w:rFonts w:ascii="Arial" w:hAnsi="Arial" w:cs="Arial"/>
          <w:iCs/>
          <w:sz w:val="22"/>
          <w:szCs w:val="22"/>
          <w:lang w:val="en-ZA"/>
        </w:rPr>
        <w:t>) will be amended to clarify the tax treatment for a net creditor position, rather than a net debtor position.</w:t>
      </w:r>
    </w:p>
    <w:p w14:paraId="667DCF7E" w14:textId="7B2E152C" w:rsidR="00375F5E" w:rsidRPr="004C639D" w:rsidRDefault="00375F5E">
      <w:pPr>
        <w:pStyle w:val="BodyText"/>
        <w:spacing w:before="9"/>
        <w:rPr>
          <w:sz w:val="17"/>
          <w:szCs w:val="17"/>
          <w:lang w:val="en-ZA"/>
        </w:rPr>
      </w:pPr>
    </w:p>
    <w:p w14:paraId="66BE3CBD" w14:textId="1E20C6BD" w:rsidR="00D54C44" w:rsidRPr="003F111D" w:rsidRDefault="580696F6" w:rsidP="003F111D">
      <w:pPr>
        <w:pStyle w:val="BodyText"/>
        <w:spacing w:line="271" w:lineRule="auto"/>
        <w:ind w:left="492" w:right="153"/>
        <w:jc w:val="both"/>
        <w:rPr>
          <w:rFonts w:ascii="Arial" w:hAnsi="Arial" w:cs="Arial"/>
          <w:i/>
          <w:sz w:val="22"/>
          <w:szCs w:val="22"/>
          <w:lang w:val="en-ZA"/>
        </w:rPr>
      </w:pPr>
      <w:r w:rsidRPr="003F111D">
        <w:rPr>
          <w:rFonts w:ascii="Arial" w:hAnsi="Arial" w:cs="Arial"/>
          <w:i/>
          <w:sz w:val="22"/>
          <w:szCs w:val="22"/>
          <w:lang w:val="en-ZA"/>
        </w:rPr>
        <w:t>Comment:</w:t>
      </w:r>
      <w:r w:rsidR="3E7E5E29" w:rsidRPr="003F111D">
        <w:rPr>
          <w:rFonts w:ascii="Arial" w:hAnsi="Arial" w:cs="Arial"/>
          <w:i/>
          <w:sz w:val="22"/>
          <w:szCs w:val="22"/>
          <w:lang w:val="en-ZA"/>
        </w:rPr>
        <w:t xml:space="preserve"> </w:t>
      </w:r>
      <w:r w:rsidR="3E7E5E29" w:rsidRPr="00403DF5">
        <w:rPr>
          <w:rFonts w:ascii="Arial" w:hAnsi="Arial" w:cs="Arial"/>
          <w:iCs/>
          <w:sz w:val="22"/>
          <w:szCs w:val="22"/>
          <w:lang w:val="en-ZA"/>
        </w:rPr>
        <w:t>Paragraph (</w:t>
      </w:r>
      <w:r w:rsidR="3E7E5E29" w:rsidRPr="00610255">
        <w:rPr>
          <w:rFonts w:ascii="Arial" w:hAnsi="Arial" w:cs="Arial"/>
          <w:i/>
          <w:sz w:val="22"/>
          <w:szCs w:val="22"/>
          <w:lang w:val="en-ZA"/>
        </w:rPr>
        <w:t>c</w:t>
      </w:r>
      <w:r w:rsidR="3E7E5E29" w:rsidRPr="00403DF5">
        <w:rPr>
          <w:rFonts w:ascii="Arial" w:hAnsi="Arial" w:cs="Arial"/>
          <w:iCs/>
          <w:sz w:val="22"/>
          <w:szCs w:val="22"/>
          <w:lang w:val="en-ZA"/>
        </w:rPr>
        <w:t>) of section 28(3D) determines the ‘phasing-in amount’ when the total deduction under section 28(3) for the latest assessment year starting on or after January 1, 2022, exceeds the combined deductions under the amended section 28(3) and subsection 3C(b) if IFRS 17 had been applied. The paragraph also specifies that this difference must be reduced by the difference between (i) the amount of insurance premium debtors and reinsurance premium debtors, and (ii) the amount of reinsurance premiums payable at the end of the latest assessment year starting on or after January 1, 2022, but before January 1, 2023, excluding amounts that are part of the liability for incurred claims. However, there are instances where this reduction results in a negative amount, leading to an inclusion in taxable income rather than the intended deduction.</w:t>
      </w:r>
    </w:p>
    <w:p w14:paraId="5ED310FA" w14:textId="77777777" w:rsidR="0038739C" w:rsidRPr="003F111D" w:rsidRDefault="0038739C" w:rsidP="1524B22C">
      <w:pPr>
        <w:pStyle w:val="BodyText"/>
        <w:spacing w:line="271" w:lineRule="auto"/>
        <w:ind w:left="492" w:right="154"/>
        <w:jc w:val="both"/>
        <w:rPr>
          <w:rFonts w:ascii="Arial"/>
          <w:i/>
          <w:iCs/>
          <w:lang w:val="en-ZA"/>
        </w:rPr>
      </w:pPr>
    </w:p>
    <w:p w14:paraId="6FE261BD" w14:textId="1AAE0923" w:rsidR="00D54C44" w:rsidRPr="001E4D15" w:rsidRDefault="580696F6" w:rsidP="001E4D15">
      <w:pPr>
        <w:pStyle w:val="BodyText"/>
        <w:spacing w:line="271" w:lineRule="auto"/>
        <w:ind w:left="831" w:right="152"/>
        <w:jc w:val="both"/>
        <w:rPr>
          <w:rFonts w:ascii="Arial" w:hAnsi="Arial" w:cs="Arial"/>
          <w:i/>
          <w:sz w:val="22"/>
          <w:szCs w:val="22"/>
          <w:lang w:val="en-ZA"/>
        </w:rPr>
      </w:pPr>
      <w:r w:rsidRPr="003F111D">
        <w:rPr>
          <w:rFonts w:ascii="Arial" w:hAnsi="Arial" w:cs="Arial"/>
          <w:i/>
          <w:sz w:val="22"/>
          <w:szCs w:val="22"/>
          <w:lang w:val="en-ZA"/>
        </w:rPr>
        <w:t xml:space="preserve">Response: </w:t>
      </w:r>
      <w:r w:rsidR="6DBF998A" w:rsidRPr="00403DF5">
        <w:rPr>
          <w:rFonts w:ascii="Arial" w:hAnsi="Arial" w:cs="Arial"/>
          <w:iCs/>
          <w:sz w:val="22"/>
          <w:szCs w:val="22"/>
          <w:u w:val="single"/>
          <w:lang w:val="en-ZA"/>
        </w:rPr>
        <w:t>Accep</w:t>
      </w:r>
      <w:r w:rsidRPr="00403DF5">
        <w:rPr>
          <w:rFonts w:ascii="Arial" w:hAnsi="Arial" w:cs="Arial"/>
          <w:iCs/>
          <w:sz w:val="22"/>
          <w:szCs w:val="22"/>
          <w:u w:val="single"/>
          <w:lang w:val="en-ZA"/>
        </w:rPr>
        <w:t>ted</w:t>
      </w:r>
      <w:r w:rsidRPr="00403DF5">
        <w:rPr>
          <w:rFonts w:ascii="Arial" w:hAnsi="Arial" w:cs="Arial"/>
          <w:iCs/>
          <w:sz w:val="22"/>
          <w:szCs w:val="22"/>
          <w:lang w:val="en-ZA"/>
        </w:rPr>
        <w:t>.</w:t>
      </w:r>
      <w:r w:rsidR="47E57CCB" w:rsidRPr="00403DF5">
        <w:rPr>
          <w:rFonts w:ascii="Arial" w:hAnsi="Arial" w:cs="Arial"/>
          <w:iCs/>
          <w:sz w:val="22"/>
          <w:szCs w:val="22"/>
          <w:lang w:val="en-ZA"/>
        </w:rPr>
        <w:t xml:space="preserve"> The phase-in provisions will be amended to cater for any resultant negative positions.</w:t>
      </w:r>
    </w:p>
    <w:p w14:paraId="7F7146E2" w14:textId="77777777" w:rsidR="00D54C44" w:rsidRPr="00403DF5" w:rsidRDefault="59DE2A97" w:rsidP="251BE3F0">
      <w:pPr>
        <w:spacing w:before="1"/>
        <w:ind w:left="154"/>
        <w:rPr>
          <w:rFonts w:ascii="Arial"/>
          <w:i/>
          <w:iCs/>
        </w:rPr>
      </w:pPr>
      <w:r w:rsidRPr="00403DF5">
        <w:rPr>
          <w:rFonts w:ascii="Arial"/>
          <w:i/>
          <w:iCs/>
          <w:u w:val="single"/>
        </w:rPr>
        <w:t>Comments on long term insurance</w:t>
      </w:r>
    </w:p>
    <w:p w14:paraId="309B8D7B" w14:textId="03CF6A36" w:rsidR="00D54C44" w:rsidRPr="004C639D" w:rsidRDefault="00D54C44" w:rsidP="251BE3F0">
      <w:pPr>
        <w:pStyle w:val="BodyText"/>
        <w:spacing w:before="71" w:line="271" w:lineRule="auto"/>
        <w:ind w:left="154" w:right="157"/>
        <w:jc w:val="both"/>
        <w:rPr>
          <w:rFonts w:ascii="Arial"/>
          <w:i/>
          <w:iCs/>
          <w:lang w:val="en-ZA"/>
        </w:rPr>
      </w:pPr>
    </w:p>
    <w:p w14:paraId="29393C99" w14:textId="4FE6941B" w:rsidR="00D54C44" w:rsidRPr="003F111D" w:rsidRDefault="4C97B500" w:rsidP="003F111D">
      <w:pPr>
        <w:pStyle w:val="BodyText"/>
        <w:spacing w:line="271" w:lineRule="auto"/>
        <w:ind w:left="492" w:right="153"/>
        <w:jc w:val="both"/>
        <w:rPr>
          <w:rFonts w:ascii="Arial" w:hAnsi="Arial" w:cs="Arial"/>
          <w:i/>
          <w:sz w:val="22"/>
          <w:szCs w:val="22"/>
          <w:lang w:val="en-ZA"/>
        </w:rPr>
      </w:pPr>
      <w:r w:rsidRPr="003F111D">
        <w:rPr>
          <w:rFonts w:ascii="Arial" w:hAnsi="Arial" w:cs="Arial"/>
          <w:i/>
          <w:sz w:val="22"/>
          <w:szCs w:val="22"/>
          <w:lang w:val="en-ZA"/>
        </w:rPr>
        <w:t xml:space="preserve">Comment: </w:t>
      </w:r>
      <w:r w:rsidRPr="00403DF5">
        <w:rPr>
          <w:rFonts w:ascii="Arial" w:hAnsi="Arial" w:cs="Arial"/>
          <w:iCs/>
          <w:sz w:val="22"/>
          <w:szCs w:val="22"/>
          <w:lang w:val="en-ZA"/>
        </w:rPr>
        <w:t>For cell captive arrangements, the licensed insurer acts as the principal for all insurance contracts, even though the risks are transferred to the cell owner via a participation agreement. As a result, the transfer of risk to the cell owner, after accounting for commercial reinsurance, can be recognised for IFRS purposes as outward reinsurance transactions. This applies to both ‘first party’ and ‘third party’ risks. The proposed amendment to exclude amounts payable to or receivable from a cell owner that do not relate to a policy in the adjusted IFRS formula should also be reflected in the definition of ‘value of liabilities’.</w:t>
      </w:r>
    </w:p>
    <w:p w14:paraId="61D55296" w14:textId="004A81AE" w:rsidR="00D54C44" w:rsidRPr="004C639D" w:rsidRDefault="00D54C44" w:rsidP="251BE3F0">
      <w:pPr>
        <w:pStyle w:val="BodyText"/>
        <w:spacing w:line="271" w:lineRule="auto"/>
        <w:ind w:left="492" w:right="154"/>
        <w:jc w:val="both"/>
        <w:rPr>
          <w:rFonts w:ascii="Arial"/>
          <w:i/>
          <w:iCs/>
          <w:lang w:val="en-ZA"/>
        </w:rPr>
      </w:pPr>
    </w:p>
    <w:p w14:paraId="496F9459" w14:textId="67D6D754" w:rsidR="001946E3" w:rsidRPr="004C639D" w:rsidRDefault="4C97B500" w:rsidP="003F111D">
      <w:pPr>
        <w:pStyle w:val="BodyText"/>
        <w:spacing w:line="271" w:lineRule="auto"/>
        <w:ind w:left="831" w:right="152"/>
        <w:jc w:val="both"/>
        <w:rPr>
          <w:sz w:val="17"/>
          <w:szCs w:val="17"/>
          <w:lang w:val="en-ZA"/>
        </w:rPr>
      </w:pPr>
      <w:r w:rsidRPr="003F111D">
        <w:rPr>
          <w:rFonts w:ascii="Arial" w:hAnsi="Arial" w:cs="Arial"/>
          <w:i/>
          <w:sz w:val="22"/>
          <w:szCs w:val="22"/>
          <w:lang w:val="en-ZA"/>
        </w:rPr>
        <w:t xml:space="preserve">Response: </w:t>
      </w:r>
      <w:r w:rsidR="67C60ABF" w:rsidRPr="00403DF5">
        <w:rPr>
          <w:rFonts w:ascii="Arial" w:hAnsi="Arial" w:cs="Arial"/>
          <w:iCs/>
          <w:sz w:val="22"/>
          <w:szCs w:val="22"/>
          <w:u w:val="single"/>
          <w:lang w:val="en-ZA"/>
        </w:rPr>
        <w:t>Accepted</w:t>
      </w:r>
      <w:r w:rsidRPr="00403DF5">
        <w:rPr>
          <w:rFonts w:ascii="Arial" w:hAnsi="Arial" w:cs="Arial"/>
          <w:iCs/>
          <w:sz w:val="22"/>
          <w:szCs w:val="22"/>
          <w:lang w:val="en-ZA"/>
        </w:rPr>
        <w:t xml:space="preserve">. </w:t>
      </w:r>
      <w:r w:rsidR="20F46424" w:rsidRPr="00403DF5">
        <w:rPr>
          <w:rFonts w:ascii="Arial" w:hAnsi="Arial" w:cs="Arial"/>
          <w:iCs/>
          <w:sz w:val="22"/>
          <w:szCs w:val="22"/>
          <w:lang w:val="en-ZA"/>
        </w:rPr>
        <w:t>An amendment will be made to the definition of ‘value of liabilities’ to provide consistency when the reference is made to amounts payable to or receivable from a cell owner.</w:t>
      </w:r>
      <w:bookmarkStart w:id="82" w:name="_Hlk147203364"/>
    </w:p>
    <w:p w14:paraId="265D42F5" w14:textId="77777777" w:rsidR="00375F5E" w:rsidRPr="004C639D" w:rsidRDefault="454DE0F2" w:rsidP="00F027A2">
      <w:pPr>
        <w:pStyle w:val="1Section"/>
        <w:numPr>
          <w:ilvl w:val="0"/>
          <w:numId w:val="37"/>
        </w:numPr>
        <w:spacing w:line="276" w:lineRule="auto"/>
        <w:ind w:left="450" w:hanging="360"/>
      </w:pPr>
      <w:bookmarkStart w:id="83" w:name="_TOC_250021"/>
      <w:bookmarkStart w:id="84" w:name="_Toc189212118"/>
      <w:bookmarkEnd w:id="82"/>
      <w:r w:rsidRPr="004C639D">
        <w:t xml:space="preserve">INCOME TAX: BUSINESS </w:t>
      </w:r>
      <w:bookmarkEnd w:id="83"/>
      <w:r w:rsidRPr="004C639D">
        <w:t>INCENTIVES</w:t>
      </w:r>
      <w:bookmarkEnd w:id="84"/>
    </w:p>
    <w:p w14:paraId="62DE7676" w14:textId="2B76E89D" w:rsidR="00375F5E" w:rsidRPr="004C639D" w:rsidRDefault="00375F5E" w:rsidP="251BE3F0">
      <w:pPr>
        <w:pStyle w:val="BodyText"/>
        <w:rPr>
          <w:rFonts w:ascii="Arial"/>
          <w:b/>
          <w:bCs/>
          <w:sz w:val="24"/>
          <w:szCs w:val="24"/>
          <w:lang w:val="en-ZA"/>
        </w:rPr>
      </w:pPr>
    </w:p>
    <w:p w14:paraId="14B53928" w14:textId="32E6EA8F" w:rsidR="00375F5E" w:rsidRPr="004C639D" w:rsidRDefault="00375F5E" w:rsidP="251BE3F0">
      <w:pPr>
        <w:pStyle w:val="BodyText"/>
        <w:spacing w:before="10"/>
        <w:rPr>
          <w:sz w:val="18"/>
          <w:szCs w:val="18"/>
          <w:lang w:val="en-ZA"/>
        </w:rPr>
      </w:pPr>
    </w:p>
    <w:p w14:paraId="7F7085D0" w14:textId="520F49F8" w:rsidR="00375F5E" w:rsidRPr="003F111D" w:rsidRDefault="1385DE5E" w:rsidP="003F111D">
      <w:pPr>
        <w:pStyle w:val="Heading3"/>
        <w:numPr>
          <w:ilvl w:val="1"/>
          <w:numId w:val="37"/>
        </w:numPr>
        <w:tabs>
          <w:tab w:val="left" w:pos="961"/>
          <w:tab w:val="left" w:pos="1134"/>
        </w:tabs>
        <w:spacing w:before="0"/>
        <w:rPr>
          <w:sz w:val="22"/>
          <w:szCs w:val="22"/>
          <w:lang w:val="en-ZA"/>
        </w:rPr>
      </w:pPr>
      <w:bookmarkStart w:id="85" w:name="_Toc189212119"/>
      <w:r w:rsidRPr="003F111D">
        <w:rPr>
          <w:sz w:val="22"/>
          <w:szCs w:val="22"/>
          <w:lang w:val="en-ZA"/>
        </w:rPr>
        <w:t>DEDUCTIONS IN RESPECT OF SCIENTIFIC OR TECHNOLOGICAL RESEARCH AND DEVELOPMENT</w:t>
      </w:r>
      <w:bookmarkEnd w:id="85"/>
      <w:r w:rsidRPr="003F111D">
        <w:rPr>
          <w:sz w:val="22"/>
          <w:szCs w:val="22"/>
          <w:lang w:val="en-ZA"/>
        </w:rPr>
        <w:t xml:space="preserve">  </w:t>
      </w:r>
    </w:p>
    <w:p w14:paraId="1426CD92" w14:textId="2153E77F" w:rsidR="00375F5E" w:rsidRPr="003F111D" w:rsidRDefault="1385DE5E" w:rsidP="003F111D">
      <w:pPr>
        <w:pStyle w:val="BodyText"/>
        <w:spacing w:before="158"/>
        <w:ind w:left="555"/>
        <w:jc w:val="both"/>
        <w:rPr>
          <w:b/>
          <w:bCs/>
          <w:sz w:val="22"/>
          <w:szCs w:val="22"/>
          <w:lang w:val="en-ZA"/>
        </w:rPr>
      </w:pPr>
      <w:r w:rsidRPr="003F111D">
        <w:rPr>
          <w:rFonts w:ascii="Arial" w:hAnsi="Arial" w:cs="Arial"/>
          <w:sz w:val="22"/>
          <w:szCs w:val="22"/>
          <w:lang w:val="en-ZA"/>
        </w:rPr>
        <w:t>(Main reference: Section 11D)</w:t>
      </w:r>
      <w:r w:rsidR="4C474EC9" w:rsidRPr="003F111D">
        <w:rPr>
          <w:rFonts w:ascii="Arial" w:hAnsi="Arial" w:cs="Arial"/>
          <w:sz w:val="22"/>
          <w:szCs w:val="22"/>
          <w:lang w:val="en-ZA"/>
        </w:rPr>
        <w:t xml:space="preserve"> </w:t>
      </w:r>
    </w:p>
    <w:p w14:paraId="6AADC43D" w14:textId="5E36CF61" w:rsidR="00375F5E" w:rsidRPr="004C639D" w:rsidRDefault="00375F5E" w:rsidP="614C5DDA">
      <w:pPr>
        <w:pStyle w:val="Heading3"/>
        <w:tabs>
          <w:tab w:val="left" w:pos="961"/>
        </w:tabs>
        <w:spacing w:before="0"/>
        <w:ind w:left="960"/>
        <w:rPr>
          <w:lang w:val="en-ZA"/>
        </w:rPr>
      </w:pPr>
    </w:p>
    <w:p w14:paraId="2154ECAF" w14:textId="285D011A" w:rsidR="00375F5E" w:rsidRPr="003F111D" w:rsidRDefault="1DF4FE05" w:rsidP="00403DF5">
      <w:pPr>
        <w:pStyle w:val="BodyText"/>
        <w:spacing w:line="271" w:lineRule="auto"/>
        <w:ind w:left="831" w:right="152"/>
        <w:jc w:val="both"/>
        <w:rPr>
          <w:rFonts w:ascii="Arial" w:hAnsi="Arial" w:cs="Arial"/>
          <w:iCs/>
          <w:sz w:val="22"/>
          <w:szCs w:val="22"/>
          <w:lang w:val="en-ZA"/>
        </w:rPr>
      </w:pPr>
      <w:r w:rsidRPr="003F111D">
        <w:rPr>
          <w:rFonts w:ascii="Arial" w:hAnsi="Arial" w:cs="Arial"/>
          <w:iCs/>
          <w:sz w:val="22"/>
          <w:szCs w:val="22"/>
          <w:lang w:val="en-ZA"/>
        </w:rPr>
        <w:t>The Act contains the Research and Development (R&amp;D) tax incentive</w:t>
      </w:r>
      <w:r w:rsidR="14F67C13" w:rsidRPr="003F111D">
        <w:rPr>
          <w:rFonts w:ascii="Arial" w:hAnsi="Arial" w:cs="Arial"/>
          <w:iCs/>
          <w:sz w:val="22"/>
          <w:szCs w:val="22"/>
          <w:lang w:val="en-ZA"/>
        </w:rPr>
        <w:t xml:space="preserve"> in section 11D of the Act, which</w:t>
      </w:r>
      <w:r w:rsidRPr="003F111D">
        <w:rPr>
          <w:rFonts w:ascii="Arial" w:hAnsi="Arial" w:cs="Arial"/>
          <w:iCs/>
          <w:sz w:val="22"/>
          <w:szCs w:val="22"/>
          <w:lang w:val="en-ZA"/>
        </w:rPr>
        <w:t xml:space="preserve"> came into operation on 2 November 2006. The R&amp;D tax incentive has undergone various design changes</w:t>
      </w:r>
      <w:r w:rsidR="7C9D05FD" w:rsidRPr="003F111D">
        <w:rPr>
          <w:rFonts w:ascii="Arial" w:hAnsi="Arial" w:cs="Arial"/>
          <w:iCs/>
          <w:sz w:val="22"/>
          <w:szCs w:val="22"/>
          <w:lang w:val="en-ZA"/>
        </w:rPr>
        <w:t xml:space="preserve"> over the years</w:t>
      </w:r>
      <w:r w:rsidRPr="003F111D">
        <w:rPr>
          <w:rFonts w:ascii="Arial" w:hAnsi="Arial" w:cs="Arial"/>
          <w:iCs/>
          <w:sz w:val="22"/>
          <w:szCs w:val="22"/>
          <w:lang w:val="en-ZA"/>
        </w:rPr>
        <w:t xml:space="preserve"> to better tailor it to meet its objectives. The most significant of these changes was the introduction of a pre-approval process in 2012. </w:t>
      </w:r>
    </w:p>
    <w:p w14:paraId="753FC4D6" w14:textId="72063E6E" w:rsidR="00375F5E" w:rsidRPr="003F111D" w:rsidRDefault="1DF4FE05" w:rsidP="00A871ED">
      <w:pPr>
        <w:pStyle w:val="BodyText"/>
        <w:spacing w:before="1" w:line="271" w:lineRule="auto"/>
        <w:ind w:left="492" w:right="152"/>
        <w:jc w:val="both"/>
        <w:rPr>
          <w:rFonts w:ascii="Arial" w:hAnsi="Arial" w:cs="Arial"/>
          <w:iCs/>
          <w:sz w:val="22"/>
          <w:szCs w:val="22"/>
          <w:lang w:val="en-ZA"/>
        </w:rPr>
      </w:pPr>
      <w:r w:rsidRPr="003F111D">
        <w:rPr>
          <w:rFonts w:ascii="Arial" w:hAnsi="Arial" w:cs="Arial"/>
          <w:iCs/>
          <w:sz w:val="22"/>
          <w:szCs w:val="22"/>
          <w:lang w:val="en-ZA"/>
        </w:rPr>
        <w:t xml:space="preserve"> </w:t>
      </w:r>
    </w:p>
    <w:p w14:paraId="0D432DC2" w14:textId="12FFFB9E" w:rsidR="00375F5E" w:rsidRPr="003F111D" w:rsidRDefault="251BE3F0" w:rsidP="00403DF5">
      <w:pPr>
        <w:pStyle w:val="BodyText"/>
        <w:spacing w:line="271" w:lineRule="auto"/>
        <w:ind w:left="831" w:right="152"/>
        <w:jc w:val="both"/>
        <w:rPr>
          <w:rFonts w:ascii="Arial" w:hAnsi="Arial" w:cs="Arial"/>
          <w:iCs/>
          <w:sz w:val="22"/>
          <w:szCs w:val="22"/>
          <w:lang w:val="en-ZA"/>
        </w:rPr>
      </w:pPr>
      <w:r w:rsidRPr="003F111D">
        <w:rPr>
          <w:rFonts w:ascii="Arial" w:hAnsi="Arial" w:cs="Arial"/>
          <w:iCs/>
          <w:sz w:val="22"/>
          <w:szCs w:val="22"/>
          <w:lang w:val="en-ZA"/>
        </w:rPr>
        <w:t xml:space="preserve">In 2023, Government extended the revised R&amp;D tax incentive to 31 December 2033. Various changes were made to the definition of R&amp;D to align it with the principles outlined in the OECD Frascati Manual and clarify that the incentive is only applicable to activities aimed at solving scientific or technological uncertainty. Additional administrative changes </w:t>
      </w:r>
      <w:r w:rsidR="1657BEEB" w:rsidRPr="003F111D">
        <w:rPr>
          <w:rFonts w:ascii="Arial" w:hAnsi="Arial" w:cs="Arial"/>
          <w:iCs/>
          <w:sz w:val="22"/>
          <w:szCs w:val="22"/>
          <w:lang w:val="en-ZA"/>
        </w:rPr>
        <w:t xml:space="preserve">were </w:t>
      </w:r>
      <w:r w:rsidR="65B32CED" w:rsidRPr="003F111D">
        <w:rPr>
          <w:rFonts w:ascii="Arial" w:hAnsi="Arial" w:cs="Arial"/>
          <w:iCs/>
          <w:sz w:val="22"/>
          <w:szCs w:val="22"/>
          <w:lang w:val="en-ZA"/>
        </w:rPr>
        <w:t xml:space="preserve">included such as the </w:t>
      </w:r>
      <w:r w:rsidRPr="003F111D">
        <w:rPr>
          <w:rFonts w:ascii="Arial" w:hAnsi="Arial" w:cs="Arial"/>
          <w:iCs/>
          <w:sz w:val="22"/>
          <w:szCs w:val="22"/>
          <w:lang w:val="en-ZA"/>
        </w:rPr>
        <w:t xml:space="preserve">six-month grace period for pre-approval </w:t>
      </w:r>
      <w:r w:rsidR="4FC74345" w:rsidRPr="003F111D">
        <w:rPr>
          <w:rFonts w:ascii="Arial" w:hAnsi="Arial" w:cs="Arial"/>
          <w:iCs/>
          <w:sz w:val="22"/>
          <w:szCs w:val="22"/>
          <w:lang w:val="en-ZA"/>
        </w:rPr>
        <w:t xml:space="preserve">of </w:t>
      </w:r>
      <w:r w:rsidRPr="003F111D">
        <w:rPr>
          <w:rFonts w:ascii="Arial" w:hAnsi="Arial" w:cs="Arial"/>
          <w:iCs/>
          <w:sz w:val="22"/>
          <w:szCs w:val="22"/>
          <w:lang w:val="en-ZA"/>
        </w:rPr>
        <w:t>applications,</w:t>
      </w:r>
      <w:r w:rsidR="671CEEB2" w:rsidRPr="003F111D">
        <w:rPr>
          <w:rFonts w:ascii="Arial" w:hAnsi="Arial" w:cs="Arial"/>
          <w:iCs/>
          <w:sz w:val="22"/>
          <w:szCs w:val="22"/>
          <w:lang w:val="en-ZA"/>
        </w:rPr>
        <w:t xml:space="preserve"> </w:t>
      </w:r>
      <w:r w:rsidRPr="003F111D">
        <w:rPr>
          <w:rFonts w:ascii="Arial" w:hAnsi="Arial" w:cs="Arial"/>
          <w:iCs/>
          <w:sz w:val="22"/>
          <w:szCs w:val="22"/>
          <w:lang w:val="en-ZA"/>
        </w:rPr>
        <w:t>extended disclosure circumstances for monitoring R&amp;D, and sanctions for violating secrecy provisions.</w:t>
      </w:r>
    </w:p>
    <w:p w14:paraId="2946C971" w14:textId="77777777" w:rsidR="0080573C" w:rsidRPr="004C639D" w:rsidRDefault="0080573C" w:rsidP="0080573C">
      <w:pPr>
        <w:pStyle w:val="BodyText"/>
        <w:spacing w:line="271" w:lineRule="auto"/>
        <w:ind w:left="492" w:right="153"/>
        <w:jc w:val="both"/>
        <w:rPr>
          <w:rFonts w:ascii="Arial"/>
          <w:i/>
          <w:iCs/>
          <w:lang w:val="en-ZA"/>
        </w:rPr>
      </w:pPr>
    </w:p>
    <w:p w14:paraId="2D4473A1" w14:textId="4F66FF8C" w:rsidR="0080573C" w:rsidRPr="003F111D" w:rsidRDefault="0080573C" w:rsidP="0080573C">
      <w:pPr>
        <w:pStyle w:val="BodyText"/>
        <w:spacing w:line="271" w:lineRule="auto"/>
        <w:ind w:left="492" w:right="153"/>
        <w:jc w:val="both"/>
        <w:rPr>
          <w:rFonts w:ascii="Arial" w:hAnsi="Arial" w:cs="Arial"/>
          <w:i/>
          <w:sz w:val="22"/>
          <w:szCs w:val="22"/>
          <w:lang w:val="en-ZA"/>
        </w:rPr>
      </w:pPr>
      <w:r w:rsidRPr="003F111D">
        <w:rPr>
          <w:rFonts w:ascii="Arial" w:hAnsi="Arial" w:cs="Arial"/>
          <w:i/>
          <w:sz w:val="22"/>
          <w:szCs w:val="22"/>
          <w:lang w:val="en-ZA"/>
        </w:rPr>
        <w:t xml:space="preserve">Comment: </w:t>
      </w:r>
      <w:r w:rsidRPr="00403DF5">
        <w:rPr>
          <w:rFonts w:ascii="Arial" w:hAnsi="Arial" w:cs="Arial"/>
          <w:iCs/>
          <w:sz w:val="22"/>
          <w:szCs w:val="22"/>
          <w:lang w:val="en-ZA"/>
        </w:rPr>
        <w:t>The amendment to section 11D introduces stricter criteria for qualifying R&amp;D activities eligible for tax incentives. Clear guidelines on qualifying activities and expenditures should be made available to assist businesses to claim R&amp;D tax deductions</w:t>
      </w:r>
      <w:r w:rsidRPr="003F111D">
        <w:rPr>
          <w:rFonts w:ascii="Arial" w:hAnsi="Arial" w:cs="Arial"/>
          <w:i/>
          <w:sz w:val="22"/>
          <w:szCs w:val="22"/>
          <w:lang w:val="en-ZA"/>
        </w:rPr>
        <w:t>.</w:t>
      </w:r>
    </w:p>
    <w:p w14:paraId="3614B2B8" w14:textId="77777777" w:rsidR="0080573C" w:rsidRPr="003F111D" w:rsidRDefault="0080573C" w:rsidP="0080573C">
      <w:pPr>
        <w:pStyle w:val="BodyText"/>
        <w:spacing w:line="271" w:lineRule="auto"/>
        <w:ind w:left="831" w:right="152"/>
        <w:jc w:val="both"/>
        <w:rPr>
          <w:rFonts w:ascii="Arial"/>
          <w:i/>
          <w:iCs/>
          <w:lang w:val="en-ZA"/>
        </w:rPr>
      </w:pPr>
    </w:p>
    <w:p w14:paraId="5318FE68" w14:textId="48222F11" w:rsidR="0080573C" w:rsidRPr="00403DF5" w:rsidRDefault="0080573C" w:rsidP="0080573C">
      <w:pPr>
        <w:pStyle w:val="BodyText"/>
        <w:spacing w:line="271" w:lineRule="auto"/>
        <w:ind w:left="831" w:right="152"/>
        <w:jc w:val="both"/>
        <w:rPr>
          <w:rFonts w:ascii="Arial" w:hAnsi="Arial" w:cs="Arial"/>
          <w:iCs/>
          <w:sz w:val="22"/>
          <w:szCs w:val="22"/>
          <w:lang w:val="en-ZA"/>
        </w:rPr>
      </w:pPr>
      <w:r w:rsidRPr="003F111D">
        <w:rPr>
          <w:rFonts w:ascii="Arial" w:hAnsi="Arial" w:cs="Arial"/>
          <w:i/>
          <w:sz w:val="22"/>
          <w:szCs w:val="22"/>
          <w:lang w:val="en-ZA"/>
        </w:rPr>
        <w:t xml:space="preserve">Response: </w:t>
      </w:r>
      <w:r w:rsidRPr="00403DF5">
        <w:rPr>
          <w:rFonts w:ascii="Arial" w:hAnsi="Arial" w:cs="Arial"/>
          <w:iCs/>
          <w:sz w:val="22"/>
          <w:szCs w:val="22"/>
          <w:u w:val="single"/>
          <w:lang w:val="en-ZA"/>
        </w:rPr>
        <w:t>Not accepted</w:t>
      </w:r>
      <w:r w:rsidRPr="00403DF5">
        <w:rPr>
          <w:rFonts w:ascii="Arial" w:hAnsi="Arial" w:cs="Arial"/>
          <w:iCs/>
          <w:sz w:val="22"/>
          <w:szCs w:val="22"/>
          <w:lang w:val="en-ZA"/>
        </w:rPr>
        <w:t>. It should be noted that this provision was not part of the 2024 draft TLAB proposals. The criteria for qualifying R&amp;D was revised in 2023 to clarify that R&amp;D activities must be systematic, experimental, aimed at resolving a scientific or technological uncertainty that isn't easily deducible by a person skilled in that field. These activities should focus on discovering new knowledge, creating or improving products, processes, or services, developing multisource pharmaceuticals, or conducting clinical trials. The Department of Science and Innovation has issued guidelines to assist taxpayers to evaluate whether their proposed R&amp;D activities meet the revised definition of R&amp;D in section 11D.</w:t>
      </w:r>
    </w:p>
    <w:p w14:paraId="0FB3323D" w14:textId="154CAAF1" w:rsidR="2875FF5B" w:rsidRPr="003F111D" w:rsidRDefault="2875FF5B" w:rsidP="251BE3F0">
      <w:pPr>
        <w:pStyle w:val="Heading3"/>
        <w:tabs>
          <w:tab w:val="left" w:pos="961"/>
        </w:tabs>
        <w:spacing w:before="0"/>
        <w:ind w:left="960"/>
        <w:rPr>
          <w:rFonts w:ascii="Arial MT" w:eastAsia="Arial MT" w:hAnsi="Arial MT" w:cs="Arial MT"/>
          <w:b w:val="0"/>
          <w:bCs w:val="0"/>
          <w:lang w:val="en-ZA"/>
        </w:rPr>
      </w:pPr>
    </w:p>
    <w:p w14:paraId="51F4D4D1" w14:textId="242C0AE6" w:rsidR="2875FF5B" w:rsidRPr="003F111D" w:rsidRDefault="0938546B" w:rsidP="003F111D">
      <w:pPr>
        <w:pStyle w:val="Heading3"/>
        <w:numPr>
          <w:ilvl w:val="1"/>
          <w:numId w:val="37"/>
        </w:numPr>
        <w:tabs>
          <w:tab w:val="left" w:pos="961"/>
          <w:tab w:val="left" w:pos="1134"/>
        </w:tabs>
        <w:spacing w:before="0"/>
        <w:rPr>
          <w:sz w:val="22"/>
          <w:szCs w:val="22"/>
          <w:lang w:val="en-ZA"/>
        </w:rPr>
      </w:pPr>
      <w:bookmarkStart w:id="86" w:name="_Toc189212120"/>
      <w:r w:rsidRPr="003F111D">
        <w:rPr>
          <w:sz w:val="22"/>
          <w:szCs w:val="22"/>
          <w:lang w:val="en-ZA"/>
        </w:rPr>
        <w:t>SPECIAL ECONOMIC ZONES</w:t>
      </w:r>
      <w:bookmarkEnd w:id="86"/>
      <w:r w:rsidRPr="003F111D">
        <w:rPr>
          <w:sz w:val="22"/>
          <w:szCs w:val="22"/>
          <w:lang w:val="en-ZA"/>
        </w:rPr>
        <w:t xml:space="preserve">   </w:t>
      </w:r>
    </w:p>
    <w:p w14:paraId="694F7579" w14:textId="4AD0BE61" w:rsidR="2875FF5B" w:rsidRPr="003F111D" w:rsidRDefault="0938546B" w:rsidP="00451234">
      <w:pPr>
        <w:pStyle w:val="BodyText"/>
        <w:spacing w:before="158"/>
        <w:ind w:left="555"/>
        <w:jc w:val="both"/>
        <w:rPr>
          <w:rFonts w:ascii="Arial" w:hAnsi="Arial" w:cs="Arial"/>
          <w:sz w:val="22"/>
          <w:szCs w:val="22"/>
          <w:lang w:val="en-ZA"/>
        </w:rPr>
      </w:pPr>
      <w:r w:rsidRPr="003F111D">
        <w:rPr>
          <w:rFonts w:ascii="Arial" w:hAnsi="Arial" w:cs="Arial"/>
          <w:sz w:val="22"/>
          <w:szCs w:val="22"/>
          <w:lang w:val="en-ZA"/>
        </w:rPr>
        <w:t>(Main reference: Section 12R</w:t>
      </w:r>
      <w:r w:rsidR="15C02A26" w:rsidRPr="003F111D">
        <w:rPr>
          <w:rFonts w:ascii="Arial" w:hAnsi="Arial" w:cs="Arial"/>
          <w:sz w:val="22"/>
          <w:szCs w:val="22"/>
          <w:lang w:val="en-ZA"/>
        </w:rPr>
        <w:t>, section 12S of the Act</w:t>
      </w:r>
      <w:r w:rsidRPr="003F111D">
        <w:rPr>
          <w:rFonts w:ascii="Arial" w:hAnsi="Arial" w:cs="Arial"/>
          <w:sz w:val="22"/>
          <w:szCs w:val="22"/>
          <w:lang w:val="en-ZA"/>
        </w:rPr>
        <w:t>)</w:t>
      </w:r>
    </w:p>
    <w:p w14:paraId="7D5A7A4E" w14:textId="1320C153" w:rsidR="0F3FF16A" w:rsidRPr="003F111D" w:rsidRDefault="0F3FF16A" w:rsidP="251BE3F0">
      <w:pPr>
        <w:pStyle w:val="Heading3"/>
        <w:numPr>
          <w:ilvl w:val="0"/>
          <w:numId w:val="64"/>
        </w:numPr>
        <w:tabs>
          <w:tab w:val="left" w:pos="961"/>
        </w:tabs>
        <w:spacing w:before="0"/>
        <w:ind w:left="960"/>
        <w:rPr>
          <w:lang w:val="en-ZA"/>
        </w:rPr>
      </w:pPr>
    </w:p>
    <w:p w14:paraId="5CC844CF" w14:textId="095D4F2C" w:rsidR="504E8B70" w:rsidRPr="003F111D" w:rsidRDefault="209AAE1D" w:rsidP="00A871ED">
      <w:pPr>
        <w:pStyle w:val="BodyText"/>
        <w:spacing w:before="1" w:line="271" w:lineRule="auto"/>
        <w:ind w:left="492" w:right="152"/>
        <w:jc w:val="both"/>
        <w:rPr>
          <w:rFonts w:ascii="Arial" w:hAnsi="Arial" w:cs="Arial"/>
          <w:iCs/>
          <w:sz w:val="22"/>
          <w:szCs w:val="22"/>
          <w:lang w:val="en-ZA"/>
        </w:rPr>
      </w:pPr>
      <w:r w:rsidRPr="003F111D">
        <w:rPr>
          <w:rFonts w:ascii="Arial" w:hAnsi="Arial" w:cs="Arial"/>
          <w:iCs/>
          <w:sz w:val="22"/>
          <w:szCs w:val="22"/>
          <w:lang w:val="en-ZA"/>
        </w:rPr>
        <w:t>In 2013, the Special Economic Zone (SEZ) tax regime was introduced in the Act. Tax benefits for this regime are contained under two separate provisions of the Act. The first provision contained in section 12R deals with the criteria determining what constitutes a qualifying company that qualifies to be taxed at 15 per cent instead of the statutory 2</w:t>
      </w:r>
      <w:r w:rsidR="747B3393" w:rsidRPr="003F111D">
        <w:rPr>
          <w:rFonts w:ascii="Arial" w:hAnsi="Arial" w:cs="Arial"/>
          <w:iCs/>
          <w:sz w:val="22"/>
          <w:szCs w:val="22"/>
          <w:lang w:val="en-ZA"/>
        </w:rPr>
        <w:t>7</w:t>
      </w:r>
      <w:r w:rsidRPr="003F111D">
        <w:rPr>
          <w:rFonts w:ascii="Arial" w:hAnsi="Arial" w:cs="Arial"/>
          <w:iCs/>
          <w:sz w:val="22"/>
          <w:szCs w:val="22"/>
          <w:lang w:val="en-ZA"/>
        </w:rPr>
        <w:t xml:space="preserve"> per cent corporate tax rate. The second provision contained in section 12S provides for an accelerated capital allowances for buildings owned and used by a qualifying company in the production of its income within SEZ.</w:t>
      </w:r>
    </w:p>
    <w:p w14:paraId="12735D67" w14:textId="5C352879" w:rsidR="504E8B70" w:rsidRPr="003F111D" w:rsidRDefault="504E8B70" w:rsidP="003F111D">
      <w:pPr>
        <w:pStyle w:val="BodyText"/>
        <w:spacing w:before="1" w:line="271" w:lineRule="auto"/>
        <w:ind w:left="492" w:right="152"/>
        <w:jc w:val="both"/>
        <w:rPr>
          <w:rFonts w:ascii="Arial" w:hAnsi="Arial" w:cs="Arial"/>
          <w:b/>
          <w:bCs/>
          <w:iCs/>
          <w:sz w:val="22"/>
          <w:szCs w:val="22"/>
          <w:lang w:val="en-ZA"/>
        </w:rPr>
      </w:pPr>
    </w:p>
    <w:p w14:paraId="6EA97F54" w14:textId="6D741F42" w:rsidR="504E8B70" w:rsidRPr="003F111D" w:rsidRDefault="25F828CB" w:rsidP="00A871ED">
      <w:pPr>
        <w:pStyle w:val="BodyText"/>
        <w:spacing w:before="1" w:line="271" w:lineRule="auto"/>
        <w:ind w:left="492" w:right="152"/>
        <w:jc w:val="both"/>
        <w:rPr>
          <w:rFonts w:ascii="Arial" w:hAnsi="Arial" w:cs="Arial"/>
          <w:iCs/>
          <w:sz w:val="22"/>
          <w:szCs w:val="22"/>
          <w:lang w:val="en-ZA"/>
        </w:rPr>
      </w:pPr>
      <w:r w:rsidRPr="003F111D">
        <w:rPr>
          <w:rFonts w:ascii="Arial" w:hAnsi="Arial" w:cs="Arial"/>
          <w:iCs/>
          <w:sz w:val="22"/>
          <w:szCs w:val="22"/>
          <w:lang w:val="en-ZA"/>
        </w:rPr>
        <w:t>In 2</w:t>
      </w:r>
      <w:r w:rsidR="4D788995" w:rsidRPr="003F111D">
        <w:rPr>
          <w:rFonts w:ascii="Arial" w:hAnsi="Arial" w:cs="Arial"/>
          <w:iCs/>
          <w:sz w:val="22"/>
          <w:szCs w:val="22"/>
          <w:lang w:val="en-ZA"/>
        </w:rPr>
        <w:t>020</w:t>
      </w:r>
      <w:r w:rsidR="4529C06D" w:rsidRPr="003F111D">
        <w:rPr>
          <w:rFonts w:ascii="Arial" w:hAnsi="Arial" w:cs="Arial"/>
          <w:iCs/>
          <w:sz w:val="22"/>
          <w:szCs w:val="22"/>
          <w:lang w:val="en-ZA"/>
        </w:rPr>
        <w:t xml:space="preserve">, </w:t>
      </w:r>
      <w:r w:rsidR="0782482D" w:rsidRPr="003F111D">
        <w:rPr>
          <w:rFonts w:ascii="Arial" w:hAnsi="Arial" w:cs="Arial"/>
          <w:iCs/>
          <w:sz w:val="22"/>
          <w:szCs w:val="22"/>
          <w:lang w:val="en-ZA"/>
        </w:rPr>
        <w:t xml:space="preserve">changes were </w:t>
      </w:r>
      <w:r w:rsidR="4D788995" w:rsidRPr="003F111D">
        <w:rPr>
          <w:rFonts w:ascii="Arial" w:hAnsi="Arial" w:cs="Arial"/>
          <w:iCs/>
          <w:sz w:val="22"/>
          <w:szCs w:val="22"/>
          <w:lang w:val="en-ZA"/>
        </w:rPr>
        <w:t>made</w:t>
      </w:r>
      <w:r w:rsidR="02FC50AA" w:rsidRPr="003F111D">
        <w:rPr>
          <w:rFonts w:ascii="Arial" w:hAnsi="Arial" w:cs="Arial"/>
          <w:iCs/>
          <w:sz w:val="22"/>
          <w:szCs w:val="22"/>
          <w:lang w:val="en-ZA"/>
        </w:rPr>
        <w:t xml:space="preserve"> </w:t>
      </w:r>
      <w:r w:rsidR="7445F5C2" w:rsidRPr="003F111D">
        <w:rPr>
          <w:rFonts w:ascii="Arial" w:hAnsi="Arial" w:cs="Arial"/>
          <w:iCs/>
          <w:sz w:val="22"/>
          <w:szCs w:val="22"/>
          <w:lang w:val="en-ZA"/>
        </w:rPr>
        <w:t>to align</w:t>
      </w:r>
      <w:r w:rsidR="02FC50AA" w:rsidRPr="003F111D">
        <w:rPr>
          <w:rFonts w:ascii="Arial" w:hAnsi="Arial" w:cs="Arial"/>
          <w:iCs/>
          <w:sz w:val="22"/>
          <w:szCs w:val="22"/>
          <w:lang w:val="en-ZA"/>
        </w:rPr>
        <w:t xml:space="preserve"> the sunset dates of the</w:t>
      </w:r>
      <w:r w:rsidR="655A05B9" w:rsidRPr="003F111D">
        <w:rPr>
          <w:rFonts w:ascii="Arial" w:hAnsi="Arial" w:cs="Arial"/>
          <w:iCs/>
          <w:sz w:val="22"/>
          <w:szCs w:val="22"/>
          <w:lang w:val="en-ZA"/>
        </w:rPr>
        <w:t xml:space="preserve"> two provisions</w:t>
      </w:r>
      <w:r w:rsidR="02FC50AA" w:rsidRPr="003F111D">
        <w:rPr>
          <w:rFonts w:ascii="Arial" w:hAnsi="Arial" w:cs="Arial"/>
          <w:iCs/>
          <w:sz w:val="22"/>
          <w:szCs w:val="22"/>
          <w:lang w:val="en-ZA"/>
        </w:rPr>
        <w:t xml:space="preserve"> SEZ tax regime</w:t>
      </w:r>
      <w:r w:rsidR="0347C9A4" w:rsidRPr="003F111D">
        <w:rPr>
          <w:rFonts w:ascii="Arial" w:hAnsi="Arial" w:cs="Arial"/>
          <w:iCs/>
          <w:sz w:val="22"/>
          <w:szCs w:val="22"/>
          <w:lang w:val="en-ZA"/>
        </w:rPr>
        <w:t>. A single date for the end of the application of the SEZ tax regime was introduced</w:t>
      </w:r>
      <w:r w:rsidR="7360B8C9" w:rsidRPr="003F111D">
        <w:rPr>
          <w:rFonts w:ascii="Arial" w:hAnsi="Arial" w:cs="Arial"/>
          <w:iCs/>
          <w:sz w:val="22"/>
          <w:szCs w:val="22"/>
          <w:lang w:val="en-ZA"/>
        </w:rPr>
        <w:t xml:space="preserve"> to clarify that</w:t>
      </w:r>
      <w:r w:rsidR="02FC50AA" w:rsidRPr="003F111D">
        <w:rPr>
          <w:rFonts w:ascii="Arial" w:hAnsi="Arial" w:cs="Arial"/>
          <w:iCs/>
          <w:sz w:val="22"/>
          <w:szCs w:val="22"/>
          <w:lang w:val="en-ZA"/>
        </w:rPr>
        <w:t xml:space="preserve"> </w:t>
      </w:r>
      <w:r w:rsidR="361C21C8" w:rsidRPr="003F111D">
        <w:rPr>
          <w:rFonts w:ascii="Arial" w:hAnsi="Arial" w:cs="Arial"/>
          <w:iCs/>
          <w:sz w:val="22"/>
          <w:szCs w:val="22"/>
          <w:lang w:val="en-ZA"/>
        </w:rPr>
        <w:t xml:space="preserve">the SEZ tax regime will come to an end after 1 January 2031. </w:t>
      </w:r>
    </w:p>
    <w:p w14:paraId="43C3810F" w14:textId="2C1D9C6E" w:rsidR="00A871ED" w:rsidRPr="003F111D" w:rsidRDefault="00A871ED" w:rsidP="003F111D">
      <w:pPr>
        <w:pStyle w:val="BodyText"/>
        <w:spacing w:before="1" w:line="271" w:lineRule="auto"/>
        <w:ind w:left="492" w:right="152"/>
        <w:jc w:val="both"/>
        <w:rPr>
          <w:rFonts w:ascii="Arial" w:hAnsi="Arial" w:cs="Arial"/>
          <w:iCs/>
          <w:sz w:val="22"/>
          <w:szCs w:val="22"/>
          <w:lang w:val="en-ZA"/>
        </w:rPr>
      </w:pPr>
      <w:bookmarkStart w:id="87" w:name="_Hlk180358796"/>
      <w:r w:rsidRPr="003F111D">
        <w:rPr>
          <w:rFonts w:ascii="Arial" w:hAnsi="Arial" w:cs="Arial"/>
          <w:iCs/>
          <w:sz w:val="22"/>
          <w:szCs w:val="22"/>
          <w:lang w:val="en-ZA"/>
        </w:rPr>
        <w:t>Comment: The Anti-avoidance measures in terms of 2R(4)(</w:t>
      </w:r>
      <w:r w:rsidRPr="00403DF5">
        <w:rPr>
          <w:rFonts w:ascii="Arial" w:hAnsi="Arial" w:cs="Arial"/>
          <w:i/>
          <w:sz w:val="22"/>
          <w:szCs w:val="22"/>
          <w:lang w:val="en-ZA"/>
        </w:rPr>
        <w:t>c</w:t>
      </w:r>
      <w:r w:rsidRPr="003F111D">
        <w:rPr>
          <w:rFonts w:ascii="Arial" w:hAnsi="Arial" w:cs="Arial"/>
          <w:iCs/>
          <w:sz w:val="22"/>
          <w:szCs w:val="22"/>
          <w:lang w:val="en-ZA"/>
        </w:rPr>
        <w:t>), disqualify companies from the SEZ incentive even if they do not abuse transfer pricing in any way.</w:t>
      </w:r>
    </w:p>
    <w:p w14:paraId="3E3AF2EB" w14:textId="77777777" w:rsidR="00A871ED" w:rsidRPr="003F111D" w:rsidRDefault="00A871ED" w:rsidP="00A871ED">
      <w:pPr>
        <w:pStyle w:val="BodyText"/>
        <w:spacing w:line="271" w:lineRule="auto"/>
        <w:ind w:left="831" w:right="152"/>
        <w:jc w:val="both"/>
        <w:rPr>
          <w:rFonts w:ascii="Arial"/>
          <w:i/>
          <w:iCs/>
          <w:lang w:val="en-ZA"/>
        </w:rPr>
      </w:pPr>
    </w:p>
    <w:p w14:paraId="7685EC5F" w14:textId="40C1F894" w:rsidR="00A871ED" w:rsidRPr="003F111D" w:rsidRDefault="00A871ED" w:rsidP="00A871ED">
      <w:pPr>
        <w:pStyle w:val="BodyText"/>
        <w:spacing w:line="271" w:lineRule="auto"/>
        <w:ind w:left="831" w:right="152"/>
        <w:jc w:val="both"/>
        <w:rPr>
          <w:rFonts w:ascii="Arial"/>
          <w:lang w:val="en-ZA"/>
        </w:rPr>
      </w:pPr>
      <w:r w:rsidRPr="003F111D">
        <w:rPr>
          <w:rFonts w:ascii="Arial" w:hAnsi="Arial" w:cs="Arial"/>
          <w:i/>
          <w:sz w:val="22"/>
          <w:szCs w:val="22"/>
          <w:lang w:val="en-ZA"/>
        </w:rPr>
        <w:t xml:space="preserve">Response:  </w:t>
      </w:r>
      <w:r w:rsidRPr="00403DF5">
        <w:rPr>
          <w:rFonts w:ascii="Arial" w:hAnsi="Arial" w:cs="Arial"/>
          <w:iCs/>
          <w:sz w:val="22"/>
          <w:szCs w:val="22"/>
          <w:u w:val="single"/>
          <w:lang w:val="en-ZA"/>
        </w:rPr>
        <w:t>Noted</w:t>
      </w:r>
      <w:r w:rsidRPr="00403DF5">
        <w:rPr>
          <w:rFonts w:ascii="Arial" w:hAnsi="Arial" w:cs="Arial"/>
          <w:iCs/>
          <w:sz w:val="22"/>
          <w:szCs w:val="22"/>
          <w:lang w:val="en-ZA"/>
        </w:rPr>
        <w:t>. The comment is outside the scope of the proposed change in legislation contained in the draft TLAB 2024. Government recognises the challenge posed by the anti-avoidance measures. An inter-governmental task team has been established to investigate all SEZ related issues, and government will indicate the policy direction thereafter.</w:t>
      </w:r>
    </w:p>
    <w:bookmarkEnd w:id="87"/>
    <w:p w14:paraId="12486A04" w14:textId="77777777" w:rsidR="00A871ED" w:rsidRPr="003F111D" w:rsidRDefault="00A871ED" w:rsidP="00A871ED">
      <w:pPr>
        <w:pStyle w:val="BodyText"/>
        <w:spacing w:before="1" w:line="271" w:lineRule="auto"/>
        <w:ind w:left="492" w:right="152"/>
        <w:jc w:val="both"/>
        <w:rPr>
          <w:rFonts w:ascii="Arial"/>
          <w:lang w:val="en-ZA"/>
        </w:rPr>
      </w:pPr>
    </w:p>
    <w:p w14:paraId="127A764E" w14:textId="559C2481" w:rsidR="0080573C" w:rsidRPr="003F111D" w:rsidRDefault="0080573C" w:rsidP="0080573C">
      <w:pPr>
        <w:pStyle w:val="BodyText"/>
        <w:spacing w:line="271" w:lineRule="auto"/>
        <w:ind w:left="492" w:right="153"/>
        <w:jc w:val="both"/>
        <w:rPr>
          <w:rFonts w:ascii="Arial" w:hAnsi="Arial" w:cs="Arial"/>
          <w:i/>
          <w:sz w:val="22"/>
          <w:szCs w:val="22"/>
          <w:lang w:val="en-ZA"/>
        </w:rPr>
      </w:pPr>
      <w:r w:rsidRPr="003F111D">
        <w:rPr>
          <w:rFonts w:ascii="Arial" w:hAnsi="Arial" w:cs="Arial"/>
          <w:i/>
          <w:sz w:val="22"/>
          <w:szCs w:val="22"/>
          <w:lang w:val="en-ZA"/>
        </w:rPr>
        <w:t xml:space="preserve">Comment: </w:t>
      </w:r>
      <w:r w:rsidRPr="00403DF5">
        <w:rPr>
          <w:rFonts w:ascii="Arial" w:hAnsi="Arial" w:cs="Arial"/>
          <w:iCs/>
          <w:sz w:val="22"/>
          <w:szCs w:val="22"/>
          <w:lang w:val="en-ZA"/>
        </w:rPr>
        <w:t>The sunset date of the SEZ tax incentive should ceases to apply in respect of any year of assessment commencing on or after 1 January 2031 or ten years after the qualifying company commences operations in any Special economic Zone, whichever is the longer.</w:t>
      </w:r>
    </w:p>
    <w:p w14:paraId="7F194BEC" w14:textId="77777777" w:rsidR="0080573C" w:rsidRPr="003F111D" w:rsidRDefault="0080573C" w:rsidP="0080573C">
      <w:pPr>
        <w:pStyle w:val="BodyText"/>
        <w:spacing w:line="271" w:lineRule="auto"/>
        <w:ind w:left="831" w:right="152"/>
        <w:jc w:val="both"/>
        <w:rPr>
          <w:rFonts w:ascii="Arial"/>
          <w:i/>
          <w:iCs/>
          <w:lang w:val="en-ZA"/>
        </w:rPr>
      </w:pPr>
    </w:p>
    <w:p w14:paraId="0882A8C7" w14:textId="2FA69F6C" w:rsidR="0080573C" w:rsidRPr="003F111D" w:rsidRDefault="0080573C" w:rsidP="36F73F84">
      <w:pPr>
        <w:pStyle w:val="BodyText"/>
        <w:spacing w:line="271" w:lineRule="auto"/>
        <w:ind w:left="831" w:right="152"/>
        <w:jc w:val="both"/>
        <w:rPr>
          <w:rFonts w:ascii="Arial" w:hAnsi="Arial" w:cs="Arial"/>
          <w:i/>
          <w:iCs/>
          <w:sz w:val="22"/>
          <w:szCs w:val="22"/>
          <w:lang w:val="en-ZA"/>
        </w:rPr>
      </w:pPr>
      <w:r w:rsidRPr="36F73F84">
        <w:rPr>
          <w:rFonts w:ascii="Arial" w:hAnsi="Arial" w:cs="Arial"/>
          <w:i/>
          <w:iCs/>
          <w:sz w:val="22"/>
          <w:szCs w:val="22"/>
          <w:lang w:val="en-ZA"/>
        </w:rPr>
        <w:t xml:space="preserve">Response:  </w:t>
      </w:r>
      <w:r w:rsidRPr="36F73F84">
        <w:rPr>
          <w:rFonts w:ascii="Arial" w:hAnsi="Arial" w:cs="Arial"/>
          <w:sz w:val="22"/>
          <w:szCs w:val="22"/>
          <w:u w:val="single"/>
          <w:lang w:val="en-ZA"/>
        </w:rPr>
        <w:t>Not accepted</w:t>
      </w:r>
      <w:r w:rsidRPr="36F73F84">
        <w:rPr>
          <w:rFonts w:ascii="Arial" w:hAnsi="Arial" w:cs="Arial"/>
          <w:sz w:val="22"/>
          <w:szCs w:val="22"/>
          <w:lang w:val="en-ZA"/>
        </w:rPr>
        <w:t>. The comment is outside the scope of the proposed change in legislation contained in the draft TLAB 2024. Although qualifying companies were initially intended to have the incentives available to them for a period of 10 years, government clearly stated the change in intention and provided reasons in the 2020 EM.</w:t>
      </w:r>
      <w:r w:rsidRPr="36F73F84">
        <w:rPr>
          <w:rFonts w:ascii="Arial" w:hAnsi="Arial" w:cs="Arial"/>
          <w:i/>
          <w:iCs/>
          <w:sz w:val="22"/>
          <w:szCs w:val="22"/>
          <w:lang w:val="en-ZA"/>
        </w:rPr>
        <w:t xml:space="preserve">   </w:t>
      </w:r>
    </w:p>
    <w:p w14:paraId="347ADBE0" w14:textId="77777777" w:rsidR="00A871ED" w:rsidRDefault="00A871ED" w:rsidP="0080573C">
      <w:pPr>
        <w:pStyle w:val="BodyText"/>
        <w:spacing w:before="1" w:line="271" w:lineRule="auto"/>
        <w:ind w:left="492" w:right="152"/>
        <w:jc w:val="both"/>
        <w:rPr>
          <w:rFonts w:ascii="Arial"/>
          <w:lang w:val="en-ZA"/>
        </w:rPr>
      </w:pPr>
    </w:p>
    <w:p w14:paraId="2A89F12E" w14:textId="77777777" w:rsidR="00351D7A" w:rsidRDefault="00351D7A" w:rsidP="0080573C">
      <w:pPr>
        <w:pStyle w:val="BodyText"/>
        <w:spacing w:before="1" w:line="271" w:lineRule="auto"/>
        <w:ind w:left="492" w:right="152"/>
        <w:jc w:val="both"/>
        <w:rPr>
          <w:rFonts w:ascii="Arial"/>
          <w:lang w:val="en-ZA"/>
        </w:rPr>
      </w:pPr>
    </w:p>
    <w:p w14:paraId="082B45F0" w14:textId="721916DA" w:rsidR="00375F5E" w:rsidRDefault="00375F5E" w:rsidP="00FB7FA9">
      <w:pPr>
        <w:pStyle w:val="Heading3"/>
        <w:tabs>
          <w:tab w:val="left" w:pos="961"/>
        </w:tabs>
        <w:spacing w:before="0"/>
        <w:ind w:left="0" w:firstLine="0"/>
        <w:rPr>
          <w:lang w:val="en-ZA"/>
        </w:rPr>
      </w:pPr>
    </w:p>
    <w:p w14:paraId="7EF46759" w14:textId="77777777" w:rsidR="00FB7FA9" w:rsidRDefault="00FB7FA9" w:rsidP="00FB7FA9">
      <w:pPr>
        <w:pStyle w:val="Heading3"/>
        <w:tabs>
          <w:tab w:val="left" w:pos="961"/>
        </w:tabs>
        <w:spacing w:before="0"/>
        <w:ind w:left="0" w:firstLine="0"/>
        <w:rPr>
          <w:lang w:val="en-ZA"/>
        </w:rPr>
      </w:pPr>
    </w:p>
    <w:p w14:paraId="50A63646" w14:textId="77777777" w:rsidR="00FB7FA9" w:rsidRDefault="00FB7FA9" w:rsidP="00FB7FA9">
      <w:pPr>
        <w:pStyle w:val="Heading3"/>
        <w:tabs>
          <w:tab w:val="left" w:pos="961"/>
        </w:tabs>
        <w:spacing w:before="0"/>
        <w:ind w:left="0" w:firstLine="0"/>
        <w:rPr>
          <w:lang w:val="en-ZA"/>
        </w:rPr>
      </w:pPr>
    </w:p>
    <w:p w14:paraId="6D43CD9E" w14:textId="77777777" w:rsidR="00FB7FA9" w:rsidRDefault="00FB7FA9" w:rsidP="00FB7FA9">
      <w:pPr>
        <w:pStyle w:val="Heading3"/>
        <w:tabs>
          <w:tab w:val="left" w:pos="961"/>
        </w:tabs>
        <w:spacing w:before="0"/>
        <w:ind w:left="0" w:firstLine="0"/>
        <w:rPr>
          <w:lang w:val="en-ZA"/>
        </w:rPr>
      </w:pPr>
    </w:p>
    <w:p w14:paraId="6016FDE8" w14:textId="77777777" w:rsidR="00FB7FA9" w:rsidRDefault="00FB7FA9" w:rsidP="00FB7FA9">
      <w:pPr>
        <w:pStyle w:val="Heading3"/>
        <w:tabs>
          <w:tab w:val="left" w:pos="961"/>
        </w:tabs>
        <w:spacing w:before="0"/>
        <w:ind w:left="0" w:firstLine="0"/>
        <w:rPr>
          <w:lang w:val="en-ZA"/>
        </w:rPr>
      </w:pPr>
    </w:p>
    <w:p w14:paraId="14DAA6BE" w14:textId="77777777" w:rsidR="00FB7FA9" w:rsidRDefault="00FB7FA9" w:rsidP="00FB7FA9">
      <w:pPr>
        <w:pStyle w:val="Heading3"/>
        <w:tabs>
          <w:tab w:val="left" w:pos="961"/>
        </w:tabs>
        <w:spacing w:before="0"/>
        <w:ind w:left="0" w:firstLine="0"/>
        <w:rPr>
          <w:lang w:val="en-ZA"/>
        </w:rPr>
      </w:pPr>
    </w:p>
    <w:p w14:paraId="2C68748A" w14:textId="77777777" w:rsidR="00FB7FA9" w:rsidRDefault="00FB7FA9" w:rsidP="00FB7FA9">
      <w:pPr>
        <w:pStyle w:val="Heading3"/>
        <w:tabs>
          <w:tab w:val="left" w:pos="961"/>
        </w:tabs>
        <w:spacing w:before="0"/>
        <w:ind w:left="0" w:firstLine="0"/>
        <w:rPr>
          <w:lang w:val="en-ZA"/>
        </w:rPr>
      </w:pPr>
    </w:p>
    <w:p w14:paraId="08A7EBC7" w14:textId="77777777" w:rsidR="00FB7FA9" w:rsidRPr="004C639D" w:rsidRDefault="00FB7FA9" w:rsidP="00FB7FA9">
      <w:pPr>
        <w:pStyle w:val="Heading3"/>
        <w:tabs>
          <w:tab w:val="left" w:pos="961"/>
        </w:tabs>
        <w:spacing w:before="0"/>
        <w:ind w:left="0" w:firstLine="0"/>
        <w:rPr>
          <w:lang w:val="en-ZA"/>
        </w:rPr>
      </w:pPr>
    </w:p>
    <w:p w14:paraId="075E7A7E" w14:textId="2865B369" w:rsidR="00375F5E" w:rsidRPr="003F111D" w:rsidRDefault="05BE44D8" w:rsidP="003F111D">
      <w:pPr>
        <w:pStyle w:val="Heading3"/>
        <w:numPr>
          <w:ilvl w:val="1"/>
          <w:numId w:val="37"/>
        </w:numPr>
        <w:tabs>
          <w:tab w:val="left" w:pos="961"/>
          <w:tab w:val="left" w:pos="1134"/>
        </w:tabs>
        <w:spacing w:before="0"/>
        <w:rPr>
          <w:sz w:val="22"/>
          <w:szCs w:val="22"/>
          <w:lang w:val="en-ZA"/>
        </w:rPr>
      </w:pPr>
      <w:bookmarkStart w:id="88" w:name="_Toc189212121"/>
      <w:r w:rsidRPr="36F73F84">
        <w:rPr>
          <w:sz w:val="22"/>
          <w:szCs w:val="22"/>
          <w:lang w:val="en-ZA"/>
        </w:rPr>
        <w:t>INVESTMENT ALLOWANCE IN RESPECT OF BUILDINGS, MACHINERY, PLANT, IMPLEMENTS, UTENSILS AND ARTICLES USED IN DOMESTIC PRODUCTION OF ELECTRIC AND HYDROGEN-POWERED VEHICLES</w:t>
      </w:r>
      <w:bookmarkEnd w:id="88"/>
      <w:r w:rsidRPr="36F73F84">
        <w:rPr>
          <w:sz w:val="22"/>
          <w:szCs w:val="22"/>
          <w:lang w:val="en-ZA"/>
        </w:rPr>
        <w:t xml:space="preserve">  </w:t>
      </w:r>
    </w:p>
    <w:p w14:paraId="4E8DE7C6" w14:textId="1689D55A" w:rsidR="00375F5E" w:rsidRPr="003F111D" w:rsidRDefault="454DE0F2" w:rsidP="00005035">
      <w:pPr>
        <w:pStyle w:val="BodyText"/>
        <w:spacing w:before="158"/>
        <w:ind w:left="555"/>
        <w:jc w:val="both"/>
        <w:rPr>
          <w:rFonts w:ascii="Arial" w:hAnsi="Arial" w:cs="Arial"/>
          <w:sz w:val="22"/>
          <w:szCs w:val="22"/>
          <w:lang w:val="en-ZA"/>
        </w:rPr>
      </w:pPr>
      <w:r w:rsidRPr="003F111D">
        <w:rPr>
          <w:rFonts w:ascii="Arial" w:hAnsi="Arial" w:cs="Arial"/>
          <w:sz w:val="22"/>
          <w:szCs w:val="22"/>
          <w:lang w:val="en-ZA"/>
        </w:rPr>
        <w:t xml:space="preserve">(Main reference: </w:t>
      </w:r>
      <w:r w:rsidR="5AC7A9FC" w:rsidRPr="003F111D">
        <w:rPr>
          <w:rFonts w:ascii="Arial" w:hAnsi="Arial" w:cs="Arial"/>
          <w:sz w:val="22"/>
          <w:szCs w:val="22"/>
          <w:lang w:val="en-ZA"/>
        </w:rPr>
        <w:t xml:space="preserve">Sections 8, 12C, </w:t>
      </w:r>
      <w:r w:rsidR="0BED16F4" w:rsidRPr="003F111D">
        <w:rPr>
          <w:rFonts w:ascii="Arial" w:hAnsi="Arial" w:cs="Arial"/>
          <w:sz w:val="22"/>
          <w:szCs w:val="22"/>
          <w:lang w:val="en-ZA"/>
        </w:rPr>
        <w:t>new section 12V ,</w:t>
      </w:r>
      <w:r w:rsidR="5AC7A9FC" w:rsidRPr="003F111D">
        <w:rPr>
          <w:rFonts w:ascii="Arial" w:hAnsi="Arial" w:cs="Arial"/>
          <w:sz w:val="22"/>
          <w:szCs w:val="22"/>
          <w:lang w:val="en-ZA"/>
        </w:rPr>
        <w:t xml:space="preserve">13, </w:t>
      </w:r>
      <w:r w:rsidR="2E4AB39D" w:rsidRPr="003F111D">
        <w:rPr>
          <w:rFonts w:ascii="Arial" w:hAnsi="Arial" w:cs="Arial"/>
          <w:sz w:val="22"/>
          <w:szCs w:val="22"/>
          <w:lang w:val="en-ZA"/>
        </w:rPr>
        <w:t>and</w:t>
      </w:r>
      <w:r w:rsidRPr="003F111D">
        <w:rPr>
          <w:rFonts w:ascii="Arial" w:hAnsi="Arial" w:cs="Arial"/>
          <w:sz w:val="22"/>
          <w:szCs w:val="22"/>
          <w:lang w:val="en-ZA"/>
        </w:rPr>
        <w:t xml:space="preserve"> </w:t>
      </w:r>
      <w:r w:rsidR="2F535F85" w:rsidRPr="003F111D">
        <w:rPr>
          <w:rFonts w:ascii="Arial" w:hAnsi="Arial" w:cs="Arial"/>
          <w:sz w:val="22"/>
          <w:szCs w:val="22"/>
          <w:lang w:val="en-ZA"/>
        </w:rPr>
        <w:t>13quat</w:t>
      </w:r>
      <w:r w:rsidR="70A2BFE2" w:rsidRPr="003F111D">
        <w:rPr>
          <w:rFonts w:ascii="Arial" w:hAnsi="Arial" w:cs="Arial"/>
          <w:sz w:val="22"/>
          <w:szCs w:val="22"/>
          <w:lang w:val="en-ZA"/>
        </w:rPr>
        <w:t xml:space="preserve"> </w:t>
      </w:r>
      <w:r w:rsidRPr="003F111D">
        <w:rPr>
          <w:rFonts w:ascii="Arial" w:hAnsi="Arial" w:cs="Arial"/>
          <w:sz w:val="22"/>
          <w:szCs w:val="22"/>
          <w:lang w:val="en-ZA"/>
        </w:rPr>
        <w:t xml:space="preserve">of the </w:t>
      </w:r>
      <w:r w:rsidR="5AC7A9FC" w:rsidRPr="003F111D">
        <w:rPr>
          <w:rFonts w:ascii="Arial" w:hAnsi="Arial" w:cs="Arial"/>
          <w:sz w:val="22"/>
          <w:szCs w:val="22"/>
          <w:lang w:val="en-ZA"/>
        </w:rPr>
        <w:t>Act</w:t>
      </w:r>
      <w:r w:rsidR="62A61071" w:rsidRPr="003F111D">
        <w:rPr>
          <w:rFonts w:ascii="Arial" w:hAnsi="Arial" w:cs="Arial"/>
          <w:sz w:val="22"/>
          <w:szCs w:val="22"/>
          <w:lang w:val="en-ZA"/>
        </w:rPr>
        <w:t xml:space="preserve">: Clauses </w:t>
      </w:r>
      <w:r w:rsidR="331184A0" w:rsidRPr="003F111D">
        <w:rPr>
          <w:rFonts w:ascii="Arial" w:hAnsi="Arial" w:cs="Arial"/>
          <w:sz w:val="22"/>
          <w:szCs w:val="22"/>
          <w:lang w:val="en-ZA"/>
        </w:rPr>
        <w:t>5, 10, 11,12</w:t>
      </w:r>
      <w:r w:rsidR="1D25E709" w:rsidRPr="003F111D">
        <w:rPr>
          <w:rFonts w:ascii="Arial" w:hAnsi="Arial" w:cs="Arial"/>
          <w:sz w:val="22"/>
          <w:szCs w:val="22"/>
          <w:lang w:val="en-ZA"/>
        </w:rPr>
        <w:t xml:space="preserve"> and </w:t>
      </w:r>
      <w:r w:rsidR="331184A0" w:rsidRPr="003F111D">
        <w:rPr>
          <w:rFonts w:ascii="Arial" w:hAnsi="Arial" w:cs="Arial"/>
          <w:sz w:val="22"/>
          <w:szCs w:val="22"/>
          <w:lang w:val="en-ZA"/>
        </w:rPr>
        <w:t>15</w:t>
      </w:r>
      <w:r w:rsidR="62A61071" w:rsidRPr="003F111D">
        <w:rPr>
          <w:rFonts w:ascii="Arial" w:hAnsi="Arial" w:cs="Arial"/>
          <w:sz w:val="22"/>
          <w:szCs w:val="22"/>
          <w:lang w:val="en-ZA"/>
        </w:rPr>
        <w:t xml:space="preserve"> of the Draft TLAB</w:t>
      </w:r>
      <w:r w:rsidRPr="003F111D">
        <w:rPr>
          <w:rFonts w:ascii="Arial" w:hAnsi="Arial" w:cs="Arial"/>
          <w:sz w:val="22"/>
          <w:szCs w:val="22"/>
          <w:lang w:val="en-ZA"/>
        </w:rPr>
        <w:t>)</w:t>
      </w:r>
    </w:p>
    <w:p w14:paraId="35017304" w14:textId="77777777" w:rsidR="00375F5E" w:rsidRPr="004C639D" w:rsidRDefault="00375F5E" w:rsidP="251BE3F0">
      <w:pPr>
        <w:pStyle w:val="BodyText"/>
        <w:spacing w:before="5"/>
        <w:rPr>
          <w:sz w:val="23"/>
          <w:szCs w:val="23"/>
          <w:lang w:val="en-ZA"/>
        </w:rPr>
      </w:pPr>
    </w:p>
    <w:p w14:paraId="0DF75F7D" w14:textId="37824FEF" w:rsidR="00375F5E" w:rsidRPr="004C639D" w:rsidRDefault="600EAE96" w:rsidP="00403DF5">
      <w:pPr>
        <w:pStyle w:val="BodyText"/>
        <w:spacing w:line="271" w:lineRule="auto"/>
        <w:ind w:left="831" w:right="152"/>
        <w:jc w:val="both"/>
        <w:rPr>
          <w:rFonts w:ascii="Arial" w:hAnsi="Arial" w:cs="Arial"/>
          <w:iCs/>
          <w:sz w:val="22"/>
          <w:szCs w:val="22"/>
          <w:lang w:val="en-ZA"/>
        </w:rPr>
      </w:pPr>
      <w:r w:rsidRPr="003F111D">
        <w:rPr>
          <w:rFonts w:ascii="Arial" w:hAnsi="Arial" w:cs="Arial"/>
          <w:iCs/>
          <w:sz w:val="22"/>
          <w:szCs w:val="22"/>
          <w:lang w:val="en-ZA"/>
        </w:rPr>
        <w:t xml:space="preserve">The South African government has </w:t>
      </w:r>
      <w:r w:rsidR="0584ADA1" w:rsidRPr="003F111D">
        <w:rPr>
          <w:rFonts w:ascii="Arial" w:hAnsi="Arial" w:cs="Arial"/>
          <w:iCs/>
          <w:sz w:val="22"/>
          <w:szCs w:val="22"/>
          <w:lang w:val="en-ZA"/>
        </w:rPr>
        <w:t xml:space="preserve">– through the Department of Trade, Industry and Competition (“the dtic”), </w:t>
      </w:r>
      <w:r w:rsidR="1B4E5AA4" w:rsidRPr="003F111D">
        <w:rPr>
          <w:rFonts w:ascii="Arial" w:hAnsi="Arial" w:cs="Arial"/>
          <w:iCs/>
          <w:sz w:val="22"/>
          <w:szCs w:val="22"/>
          <w:lang w:val="en-ZA"/>
        </w:rPr>
        <w:t xml:space="preserve">implemented </w:t>
      </w:r>
      <w:r w:rsidRPr="003F111D">
        <w:rPr>
          <w:rFonts w:ascii="Arial" w:hAnsi="Arial" w:cs="Arial"/>
          <w:iCs/>
          <w:sz w:val="22"/>
          <w:szCs w:val="22"/>
          <w:lang w:val="en-ZA"/>
        </w:rPr>
        <w:t xml:space="preserve">various incentives to support the automotive </w:t>
      </w:r>
      <w:r w:rsidR="24F3DD1D" w:rsidRPr="003F111D">
        <w:rPr>
          <w:rFonts w:ascii="Arial" w:hAnsi="Arial" w:cs="Arial"/>
          <w:iCs/>
          <w:sz w:val="22"/>
          <w:szCs w:val="22"/>
          <w:lang w:val="en-ZA"/>
        </w:rPr>
        <w:t>industry including</w:t>
      </w:r>
      <w:r w:rsidRPr="003F111D">
        <w:rPr>
          <w:rFonts w:ascii="Arial" w:hAnsi="Arial" w:cs="Arial"/>
          <w:iCs/>
          <w:sz w:val="22"/>
          <w:szCs w:val="22"/>
          <w:lang w:val="en-ZA"/>
        </w:rPr>
        <w:t xml:space="preserve"> the Motor Industry Development Programme (MIDP) from 1995 to 2012 and the Automotive Production and Development Programme (APDP) in 2013. The APDP aims to grow production volumes and promote value addition in the automotive component industry. </w:t>
      </w:r>
    </w:p>
    <w:p w14:paraId="378AC964" w14:textId="77777777" w:rsidR="00254C73" w:rsidRPr="003F111D" w:rsidRDefault="00254C73" w:rsidP="003F111D">
      <w:pPr>
        <w:pStyle w:val="BodyText"/>
        <w:spacing w:before="1" w:line="271" w:lineRule="auto"/>
        <w:ind w:left="492" w:right="152"/>
        <w:jc w:val="both"/>
        <w:rPr>
          <w:rFonts w:ascii="Arial" w:hAnsi="Arial" w:cs="Arial"/>
          <w:iCs/>
          <w:sz w:val="22"/>
          <w:szCs w:val="22"/>
          <w:lang w:val="en-ZA"/>
        </w:rPr>
      </w:pPr>
    </w:p>
    <w:p w14:paraId="4CBD6B23" w14:textId="619CB82C" w:rsidR="00375F5E" w:rsidRPr="004C639D" w:rsidRDefault="600EAE96" w:rsidP="00403DF5">
      <w:pPr>
        <w:pStyle w:val="BodyText"/>
        <w:spacing w:line="271" w:lineRule="auto"/>
        <w:ind w:left="831" w:right="152"/>
        <w:jc w:val="both"/>
        <w:rPr>
          <w:rFonts w:ascii="Arial" w:hAnsi="Arial" w:cs="Arial"/>
          <w:iCs/>
          <w:sz w:val="22"/>
          <w:szCs w:val="22"/>
          <w:lang w:val="en-ZA"/>
        </w:rPr>
      </w:pPr>
      <w:r w:rsidRPr="003F111D">
        <w:rPr>
          <w:rFonts w:ascii="Arial" w:hAnsi="Arial" w:cs="Arial"/>
          <w:iCs/>
          <w:sz w:val="22"/>
          <w:szCs w:val="22"/>
          <w:lang w:val="en-ZA"/>
        </w:rPr>
        <w:t xml:space="preserve">The DTIC published the Electric Vehicles White Paper, stating the transition from primarily producing Internal Combustion Engine (“ICE”) vehicles to a dual platform that includes electric vehicles (EVs). This shift is necessary to address environmental concerns and meet emission reduction commitments from the Paris Agreement. South Africa's key export markets, like the EU and UK, have announced plans to ban the sale of new ICE vehicles by 2035, which threatens the country's strategic position in the global automotive export industry. </w:t>
      </w:r>
    </w:p>
    <w:p w14:paraId="08C49272" w14:textId="77777777" w:rsidR="00254C73" w:rsidRPr="003F111D" w:rsidRDefault="00254C73" w:rsidP="003F111D">
      <w:pPr>
        <w:pStyle w:val="BodyText"/>
        <w:spacing w:before="1" w:line="271" w:lineRule="auto"/>
        <w:ind w:left="492" w:right="152"/>
        <w:jc w:val="both"/>
        <w:rPr>
          <w:rFonts w:ascii="Arial" w:hAnsi="Arial" w:cs="Arial"/>
          <w:iCs/>
          <w:sz w:val="22"/>
          <w:szCs w:val="22"/>
          <w:lang w:val="en-ZA"/>
        </w:rPr>
      </w:pPr>
    </w:p>
    <w:p w14:paraId="6CDF804E" w14:textId="32779933" w:rsidR="00375F5E" w:rsidRPr="00403DF5" w:rsidRDefault="600EAE96" w:rsidP="36F73F84">
      <w:pPr>
        <w:pStyle w:val="BodyText"/>
        <w:spacing w:line="271" w:lineRule="auto"/>
        <w:ind w:left="831" w:right="152"/>
        <w:jc w:val="both"/>
        <w:rPr>
          <w:rFonts w:ascii="Arial" w:hAnsi="Arial" w:cs="Arial"/>
        </w:rPr>
      </w:pPr>
      <w:r w:rsidRPr="36F73F84">
        <w:rPr>
          <w:rFonts w:ascii="Arial" w:hAnsi="Arial" w:cs="Arial"/>
          <w:sz w:val="22"/>
          <w:szCs w:val="22"/>
          <w:lang w:val="en-ZA"/>
        </w:rPr>
        <w:t>Internationally, countries have introduced tax incentives to encourage investment in EV production and related infrastructure. T</w:t>
      </w:r>
      <w:r w:rsidR="5682F365" w:rsidRPr="36F73F84">
        <w:rPr>
          <w:rFonts w:ascii="Arial" w:hAnsi="Arial" w:cs="Arial"/>
          <w:sz w:val="22"/>
          <w:szCs w:val="22"/>
          <w:lang w:val="en-ZA"/>
        </w:rPr>
        <w:t xml:space="preserve">o encourage the investment in the local production of electric and hydrogen-powered vehicles, </w:t>
      </w:r>
      <w:r w:rsidR="3F0945E1" w:rsidRPr="36F73F84">
        <w:rPr>
          <w:rFonts w:ascii="Arial" w:hAnsi="Arial" w:cs="Arial"/>
          <w:sz w:val="22"/>
          <w:szCs w:val="22"/>
          <w:lang w:val="en-ZA"/>
        </w:rPr>
        <w:t>G</w:t>
      </w:r>
      <w:r w:rsidRPr="36F73F84">
        <w:rPr>
          <w:rFonts w:ascii="Arial" w:hAnsi="Arial" w:cs="Arial"/>
          <w:sz w:val="22"/>
          <w:szCs w:val="22"/>
          <w:lang w:val="en-ZA"/>
        </w:rPr>
        <w:t>overnment propose</w:t>
      </w:r>
      <w:r w:rsidR="1BB15A01" w:rsidRPr="36F73F84">
        <w:rPr>
          <w:rFonts w:ascii="Arial" w:hAnsi="Arial" w:cs="Arial"/>
          <w:sz w:val="22"/>
          <w:szCs w:val="22"/>
          <w:lang w:val="en-ZA"/>
        </w:rPr>
        <w:t>d</w:t>
      </w:r>
      <w:r w:rsidR="72A22586" w:rsidRPr="36F73F84">
        <w:rPr>
          <w:rFonts w:ascii="Arial" w:hAnsi="Arial" w:cs="Arial"/>
          <w:sz w:val="22"/>
          <w:szCs w:val="22"/>
          <w:lang w:val="en-ZA"/>
        </w:rPr>
        <w:t xml:space="preserve"> to</w:t>
      </w:r>
      <w:r w:rsidR="1DBEBAC9" w:rsidRPr="36F73F84">
        <w:rPr>
          <w:rFonts w:ascii="Arial" w:hAnsi="Arial" w:cs="Arial"/>
          <w:sz w:val="22"/>
          <w:szCs w:val="22"/>
          <w:lang w:val="en-ZA"/>
        </w:rPr>
        <w:t xml:space="preserve"> </w:t>
      </w:r>
      <w:r w:rsidRPr="36F73F84">
        <w:rPr>
          <w:rFonts w:ascii="Arial" w:hAnsi="Arial" w:cs="Arial"/>
          <w:sz w:val="22"/>
          <w:szCs w:val="22"/>
          <w:lang w:val="en-ZA"/>
        </w:rPr>
        <w:t>introduc</w:t>
      </w:r>
      <w:r w:rsidR="7E874650" w:rsidRPr="36F73F84">
        <w:rPr>
          <w:rFonts w:ascii="Arial" w:hAnsi="Arial" w:cs="Arial"/>
          <w:sz w:val="22"/>
          <w:szCs w:val="22"/>
          <w:lang w:val="en-ZA"/>
        </w:rPr>
        <w:t>e</w:t>
      </w:r>
      <w:r w:rsidRPr="36F73F84">
        <w:rPr>
          <w:rFonts w:ascii="Arial" w:hAnsi="Arial" w:cs="Arial"/>
          <w:sz w:val="22"/>
          <w:szCs w:val="22"/>
          <w:lang w:val="en-ZA"/>
        </w:rPr>
        <w:t xml:space="preserve"> a 150% investment allowance </w:t>
      </w:r>
      <w:r w:rsidR="5BF4279B" w:rsidRPr="36F73F84">
        <w:rPr>
          <w:rFonts w:ascii="Arial" w:hAnsi="Arial" w:cs="Arial"/>
          <w:sz w:val="22"/>
          <w:szCs w:val="22"/>
          <w:lang w:val="en-ZA"/>
        </w:rPr>
        <w:t>for qualifying investment spending on production capacity for electric and hydrogen</w:t>
      </w:r>
      <w:r w:rsidR="5BF4279B" w:rsidRPr="36F73F84">
        <w:rPr>
          <w:rFonts w:ascii="Cambria Math" w:hAnsi="Cambria Math" w:cs="Cambria Math"/>
          <w:sz w:val="22"/>
          <w:szCs w:val="22"/>
          <w:lang w:val="en-ZA"/>
        </w:rPr>
        <w:t>‐</w:t>
      </w:r>
      <w:r w:rsidR="5BF4279B" w:rsidRPr="36F73F84">
        <w:rPr>
          <w:rFonts w:ascii="Arial" w:hAnsi="Arial" w:cs="Arial"/>
          <w:sz w:val="22"/>
          <w:szCs w:val="22"/>
          <w:lang w:val="en-ZA"/>
        </w:rPr>
        <w:t>powered vehicles</w:t>
      </w:r>
      <w:r w:rsidR="01B01F14" w:rsidRPr="36F73F84">
        <w:rPr>
          <w:rFonts w:ascii="Arial" w:hAnsi="Arial" w:cs="Arial"/>
          <w:sz w:val="22"/>
          <w:szCs w:val="22"/>
          <w:lang w:val="en-ZA"/>
        </w:rPr>
        <w:t>. The investment allowance will be available for qualifying assets brought into use from</w:t>
      </w:r>
      <w:r w:rsidR="63E3A7F1" w:rsidRPr="36F73F84">
        <w:rPr>
          <w:rFonts w:ascii="Arial" w:hAnsi="Arial" w:cs="Arial"/>
          <w:sz w:val="22"/>
          <w:szCs w:val="22"/>
          <w:lang w:val="en-ZA"/>
        </w:rPr>
        <w:t xml:space="preserve"> 1 March 2026 until and including 1 March 2036.</w:t>
      </w:r>
      <w:r w:rsidR="5BF4279B" w:rsidRPr="36F73F84">
        <w:rPr>
          <w:rFonts w:ascii="Arial" w:hAnsi="Arial" w:cs="Arial"/>
          <w:sz w:val="22"/>
          <w:szCs w:val="22"/>
          <w:lang w:val="en-ZA"/>
        </w:rPr>
        <w:t xml:space="preserve"> </w:t>
      </w:r>
      <w:r w:rsidR="7B21482B" w:rsidRPr="36F73F84">
        <w:rPr>
          <w:rFonts w:ascii="Arial" w:hAnsi="Arial" w:cs="Arial"/>
          <w:sz w:val="22"/>
          <w:szCs w:val="22"/>
          <w:lang w:val="en-ZA"/>
        </w:rPr>
        <w:t>Assets will qualify if they</w:t>
      </w:r>
      <w:r w:rsidR="0C0059DF" w:rsidRPr="36F73F84">
        <w:rPr>
          <w:rFonts w:ascii="Arial" w:hAnsi="Arial" w:cs="Arial"/>
          <w:sz w:val="22"/>
          <w:szCs w:val="22"/>
          <w:lang w:val="en-ZA"/>
        </w:rPr>
        <w:t xml:space="preserve"> </w:t>
      </w:r>
      <w:r w:rsidR="6786E03F" w:rsidRPr="36F73F84">
        <w:rPr>
          <w:rFonts w:ascii="Arial" w:hAnsi="Arial" w:cs="Arial"/>
          <w:sz w:val="22"/>
          <w:szCs w:val="22"/>
          <w:lang w:val="en-ZA"/>
        </w:rPr>
        <w:t xml:space="preserve">are </w:t>
      </w:r>
      <w:r w:rsidR="0C0059DF" w:rsidRPr="36F73F84">
        <w:rPr>
          <w:rFonts w:ascii="Arial" w:hAnsi="Arial" w:cs="Arial"/>
          <w:sz w:val="22"/>
          <w:szCs w:val="22"/>
          <w:lang w:val="en-ZA"/>
        </w:rPr>
        <w:t>new and unused (including improvements)</w:t>
      </w:r>
      <w:r w:rsidR="2B1CDD41" w:rsidRPr="36F73F84">
        <w:rPr>
          <w:rFonts w:ascii="Arial" w:hAnsi="Arial" w:cs="Arial"/>
          <w:sz w:val="22"/>
          <w:szCs w:val="22"/>
          <w:lang w:val="en-ZA"/>
        </w:rPr>
        <w:t xml:space="preserve"> </w:t>
      </w:r>
      <w:r w:rsidR="0866608D" w:rsidRPr="36F73F84">
        <w:rPr>
          <w:rFonts w:ascii="Arial" w:hAnsi="Arial" w:cs="Arial"/>
          <w:sz w:val="22"/>
          <w:szCs w:val="22"/>
          <w:lang w:val="en-ZA"/>
        </w:rPr>
        <w:t xml:space="preserve">and will be </w:t>
      </w:r>
      <w:r w:rsidR="2B1CDD41" w:rsidRPr="36F73F84">
        <w:rPr>
          <w:rFonts w:ascii="Arial" w:hAnsi="Arial" w:cs="Arial"/>
          <w:sz w:val="22"/>
          <w:szCs w:val="22"/>
          <w:lang w:val="en-ZA"/>
        </w:rPr>
        <w:t xml:space="preserve">used </w:t>
      </w:r>
      <w:r w:rsidR="492B9DC1" w:rsidRPr="36F73F84">
        <w:rPr>
          <w:rFonts w:ascii="Arial" w:hAnsi="Arial" w:cs="Arial"/>
          <w:sz w:val="22"/>
          <w:szCs w:val="22"/>
          <w:lang w:val="en-ZA"/>
        </w:rPr>
        <w:t xml:space="preserve">mainly </w:t>
      </w:r>
      <w:r w:rsidR="2B1CDD41" w:rsidRPr="36F73F84">
        <w:rPr>
          <w:rFonts w:ascii="Arial" w:hAnsi="Arial" w:cs="Arial"/>
          <w:sz w:val="22"/>
          <w:szCs w:val="22"/>
          <w:lang w:val="en-ZA"/>
        </w:rPr>
        <w:t>to produce electric or hydrogen-powered vehicles</w:t>
      </w:r>
      <w:r w:rsidR="07871101" w:rsidRPr="36F73F84">
        <w:rPr>
          <w:rFonts w:ascii="Arial" w:hAnsi="Arial" w:cs="Arial"/>
          <w:sz w:val="22"/>
          <w:szCs w:val="22"/>
          <w:lang w:val="en-ZA"/>
        </w:rPr>
        <w:t xml:space="preserve">.  </w:t>
      </w:r>
    </w:p>
    <w:p w14:paraId="4A70E062" w14:textId="7C4C254D" w:rsidR="00E26BC0" w:rsidRPr="003F111D" w:rsidRDefault="727AFD05" w:rsidP="0FE5895A">
      <w:pPr>
        <w:pStyle w:val="BodyText"/>
        <w:spacing w:line="271" w:lineRule="auto"/>
        <w:ind w:left="492" w:right="153"/>
        <w:jc w:val="both"/>
        <w:rPr>
          <w:rFonts w:ascii="Arial" w:hAnsi="Arial" w:cs="Arial"/>
          <w:i/>
          <w:iCs/>
          <w:sz w:val="22"/>
          <w:szCs w:val="22"/>
        </w:rPr>
      </w:pPr>
      <w:r w:rsidRPr="0FE5895A">
        <w:rPr>
          <w:rFonts w:ascii="Arial" w:hAnsi="Arial" w:cs="Arial"/>
          <w:i/>
          <w:iCs/>
          <w:sz w:val="22"/>
          <w:szCs w:val="22"/>
        </w:rPr>
        <w:t xml:space="preserve">Comment: </w:t>
      </w:r>
      <w:r w:rsidRPr="0FE5895A">
        <w:rPr>
          <w:rFonts w:ascii="Arial" w:hAnsi="Arial" w:cs="Arial"/>
          <w:sz w:val="22"/>
          <w:szCs w:val="22"/>
        </w:rPr>
        <w:t xml:space="preserve">The proposed </w:t>
      </w:r>
      <w:r w:rsidR="2BBE1E0E" w:rsidRPr="0FE5895A">
        <w:rPr>
          <w:rFonts w:ascii="Arial" w:hAnsi="Arial" w:cs="Arial"/>
          <w:sz w:val="22"/>
          <w:szCs w:val="22"/>
        </w:rPr>
        <w:t>investment allowance</w:t>
      </w:r>
      <w:r w:rsidRPr="0FE5895A">
        <w:rPr>
          <w:rFonts w:ascii="Arial" w:hAnsi="Arial" w:cs="Arial"/>
          <w:sz w:val="22"/>
          <w:szCs w:val="22"/>
        </w:rPr>
        <w:t xml:space="preserve"> is welcomed. However, </w:t>
      </w:r>
      <w:r w:rsidR="69F9CB1C" w:rsidRPr="0FE5895A">
        <w:rPr>
          <w:rFonts w:ascii="Arial" w:hAnsi="Arial" w:cs="Arial"/>
          <w:sz w:val="22"/>
          <w:szCs w:val="22"/>
        </w:rPr>
        <w:t xml:space="preserve">the Income Tax Act currently does not have a definition of a ‘motor vehicle manufacturer’. The process of manufacturing vehicles involves various steps, including assembling parts. </w:t>
      </w:r>
      <w:r w:rsidR="62A51971" w:rsidRPr="0FE5895A">
        <w:rPr>
          <w:rFonts w:ascii="Arial" w:hAnsi="Arial" w:cs="Arial"/>
          <w:sz w:val="22"/>
          <w:szCs w:val="22"/>
        </w:rPr>
        <w:t>It is not clear</w:t>
      </w:r>
      <w:r w:rsidR="4313EB96" w:rsidRPr="0FE5895A">
        <w:rPr>
          <w:rFonts w:ascii="Arial" w:hAnsi="Arial" w:cs="Arial"/>
          <w:sz w:val="22"/>
          <w:szCs w:val="22"/>
        </w:rPr>
        <w:t>.</w:t>
      </w:r>
      <w:r w:rsidR="62A51971" w:rsidRPr="0FE5895A">
        <w:rPr>
          <w:rFonts w:ascii="Arial" w:hAnsi="Arial" w:cs="Arial"/>
          <w:i/>
          <w:iCs/>
          <w:sz w:val="22"/>
          <w:szCs w:val="22"/>
        </w:rPr>
        <w:t xml:space="preserve"> </w:t>
      </w:r>
      <w:r w:rsidR="09210AFA" w:rsidRPr="0FE5895A">
        <w:rPr>
          <w:rFonts w:ascii="Arial" w:hAnsi="Arial" w:cs="Arial"/>
          <w:i/>
          <w:iCs/>
          <w:sz w:val="22"/>
          <w:szCs w:val="22"/>
        </w:rPr>
        <w:t xml:space="preserve"> </w:t>
      </w:r>
    </w:p>
    <w:p w14:paraId="45CD0CD7" w14:textId="46E60B8B" w:rsidR="00E26BC0" w:rsidRPr="004C639D" w:rsidRDefault="00E26BC0" w:rsidP="251BE3F0">
      <w:pPr>
        <w:pStyle w:val="BodyText"/>
        <w:spacing w:line="271" w:lineRule="auto"/>
        <w:ind w:left="492" w:right="153"/>
        <w:jc w:val="both"/>
        <w:rPr>
          <w:rFonts w:ascii="Arial"/>
          <w:i/>
          <w:iCs/>
          <w:lang w:val="en-ZA"/>
        </w:rPr>
      </w:pPr>
    </w:p>
    <w:p w14:paraId="16525CA1" w14:textId="6FB77465" w:rsidR="00375F5E" w:rsidRPr="003F111D" w:rsidRDefault="727AFD05" w:rsidP="003F111D">
      <w:pPr>
        <w:pStyle w:val="BodyText"/>
        <w:spacing w:line="271" w:lineRule="auto"/>
        <w:ind w:left="831" w:right="152"/>
        <w:jc w:val="both"/>
        <w:rPr>
          <w:rFonts w:ascii="Arial" w:hAnsi="Arial" w:cs="Arial"/>
          <w:i/>
          <w:sz w:val="22"/>
          <w:szCs w:val="22"/>
          <w:lang w:val="en-ZA"/>
        </w:rPr>
      </w:pPr>
      <w:r w:rsidRPr="003F111D">
        <w:rPr>
          <w:rFonts w:ascii="Arial" w:hAnsi="Arial" w:cs="Arial"/>
          <w:i/>
          <w:sz w:val="22"/>
          <w:szCs w:val="22"/>
          <w:lang w:val="en-ZA"/>
        </w:rPr>
        <w:t xml:space="preserve">Response: </w:t>
      </w:r>
      <w:r w:rsidR="2E627022" w:rsidRPr="00403DF5">
        <w:rPr>
          <w:rFonts w:ascii="Arial" w:hAnsi="Arial" w:cs="Arial"/>
          <w:iCs/>
          <w:sz w:val="22"/>
          <w:szCs w:val="22"/>
          <w:u w:val="single"/>
          <w:lang w:val="en-ZA"/>
        </w:rPr>
        <w:t>Accepted</w:t>
      </w:r>
      <w:r w:rsidRPr="00403DF5">
        <w:rPr>
          <w:rFonts w:ascii="Arial" w:hAnsi="Arial" w:cs="Arial"/>
          <w:iCs/>
          <w:sz w:val="22"/>
          <w:szCs w:val="22"/>
          <w:lang w:val="en-ZA"/>
        </w:rPr>
        <w:t xml:space="preserve">. </w:t>
      </w:r>
      <w:r w:rsidR="1FD3EBE8" w:rsidRPr="00403DF5">
        <w:rPr>
          <w:rFonts w:ascii="Arial" w:hAnsi="Arial" w:cs="Arial"/>
          <w:iCs/>
          <w:sz w:val="22"/>
          <w:szCs w:val="22"/>
          <w:lang w:val="en-ZA"/>
        </w:rPr>
        <w:t>Amendments will be made to draft legislation to include a definition of a ‘motor vehicle manufacturer’ in line with the definition of a</w:t>
      </w:r>
      <w:r w:rsidR="0F46ED02" w:rsidRPr="00403DF5">
        <w:rPr>
          <w:rFonts w:ascii="Arial" w:hAnsi="Arial" w:cs="Arial"/>
          <w:iCs/>
          <w:sz w:val="22"/>
          <w:szCs w:val="22"/>
          <w:lang w:val="en-ZA"/>
        </w:rPr>
        <w:t xml:space="preserve"> 'final manufacturer'</w:t>
      </w:r>
      <w:r w:rsidR="1FD3EBE8" w:rsidRPr="00403DF5">
        <w:rPr>
          <w:rFonts w:ascii="Arial" w:hAnsi="Arial" w:cs="Arial"/>
          <w:iCs/>
          <w:sz w:val="22"/>
          <w:szCs w:val="22"/>
          <w:lang w:val="en-ZA"/>
        </w:rPr>
        <w:t xml:space="preserve"> in terms of A</w:t>
      </w:r>
      <w:r w:rsidR="6C816816" w:rsidRPr="00403DF5">
        <w:rPr>
          <w:rFonts w:ascii="Arial" w:hAnsi="Arial" w:cs="Arial"/>
          <w:iCs/>
          <w:sz w:val="22"/>
          <w:szCs w:val="22"/>
          <w:lang w:val="en-ZA"/>
        </w:rPr>
        <w:t xml:space="preserve">utomotive </w:t>
      </w:r>
      <w:r w:rsidR="63D99C56" w:rsidRPr="00403DF5">
        <w:rPr>
          <w:rFonts w:ascii="Arial" w:hAnsi="Arial" w:cs="Arial"/>
          <w:iCs/>
          <w:sz w:val="22"/>
          <w:szCs w:val="22"/>
          <w:lang w:val="en-ZA"/>
        </w:rPr>
        <w:t>Production and Development Programme Phase 2 (A</w:t>
      </w:r>
      <w:r w:rsidR="1FD3EBE8" w:rsidRPr="00403DF5">
        <w:rPr>
          <w:rFonts w:ascii="Arial" w:hAnsi="Arial" w:cs="Arial"/>
          <w:iCs/>
          <w:sz w:val="22"/>
          <w:szCs w:val="22"/>
          <w:lang w:val="en-ZA"/>
        </w:rPr>
        <w:t>PDP 2</w:t>
      </w:r>
      <w:r w:rsidR="0A216ABA" w:rsidRPr="00403DF5">
        <w:rPr>
          <w:rFonts w:ascii="Arial" w:hAnsi="Arial" w:cs="Arial"/>
          <w:iCs/>
          <w:sz w:val="22"/>
          <w:szCs w:val="22"/>
          <w:lang w:val="en-ZA"/>
        </w:rPr>
        <w:t>).</w:t>
      </w:r>
    </w:p>
    <w:p w14:paraId="128AFA8E" w14:textId="4B00CFD4" w:rsidR="00A91516" w:rsidRPr="004C639D" w:rsidRDefault="00A91516" w:rsidP="00A91516">
      <w:pPr>
        <w:pStyle w:val="BodyText"/>
        <w:spacing w:before="1" w:line="271" w:lineRule="auto"/>
        <w:ind w:left="492" w:right="152"/>
        <w:jc w:val="both"/>
        <w:rPr>
          <w:lang w:val="en-ZA"/>
        </w:rPr>
      </w:pPr>
      <w:bookmarkStart w:id="89" w:name="_Hlk147201566"/>
      <w:bookmarkStart w:id="90" w:name="_Hlk147201629"/>
      <w:bookmarkEnd w:id="89"/>
    </w:p>
    <w:p w14:paraId="33599494" w14:textId="377DF605" w:rsidR="00A91516" w:rsidRPr="003F111D" w:rsidRDefault="1715D414" w:rsidP="251BE3F0">
      <w:pPr>
        <w:pStyle w:val="BodyText"/>
        <w:spacing w:line="271" w:lineRule="auto"/>
        <w:ind w:left="492" w:right="153"/>
        <w:jc w:val="both"/>
        <w:rPr>
          <w:rFonts w:ascii="Arial" w:hAnsi="Arial" w:cs="Arial"/>
          <w:i/>
          <w:sz w:val="22"/>
          <w:szCs w:val="22"/>
          <w:lang w:val="en-ZA"/>
        </w:rPr>
      </w:pPr>
      <w:r w:rsidRPr="003F111D">
        <w:rPr>
          <w:rFonts w:ascii="Arial" w:hAnsi="Arial" w:cs="Arial"/>
          <w:i/>
          <w:sz w:val="22"/>
          <w:szCs w:val="22"/>
          <w:lang w:val="en-ZA"/>
        </w:rPr>
        <w:t>Comment:</w:t>
      </w:r>
      <w:r w:rsidR="00A83FB6">
        <w:rPr>
          <w:rFonts w:ascii="Arial" w:hAnsi="Arial" w:cs="Arial"/>
          <w:i/>
          <w:sz w:val="22"/>
          <w:szCs w:val="22"/>
          <w:lang w:val="en-ZA"/>
        </w:rPr>
        <w:t xml:space="preserve"> </w:t>
      </w:r>
      <w:r w:rsidR="627C850E" w:rsidRPr="00403DF5">
        <w:rPr>
          <w:rFonts w:ascii="Arial" w:hAnsi="Arial" w:cs="Arial"/>
          <w:iCs/>
          <w:sz w:val="22"/>
          <w:szCs w:val="22"/>
          <w:lang w:val="en-ZA"/>
        </w:rPr>
        <w:t xml:space="preserve">There is no definition as to what constitutes “electric and hydrogen-powered vehicles”. For example, </w:t>
      </w:r>
      <w:r w:rsidR="16FF297A" w:rsidRPr="00403DF5">
        <w:rPr>
          <w:rFonts w:ascii="Arial" w:hAnsi="Arial" w:cs="Arial"/>
          <w:iCs/>
          <w:sz w:val="22"/>
          <w:szCs w:val="22"/>
          <w:lang w:val="en-ZA"/>
        </w:rPr>
        <w:t xml:space="preserve">it is not clear whether </w:t>
      </w:r>
      <w:r w:rsidR="627C850E" w:rsidRPr="00403DF5">
        <w:rPr>
          <w:rFonts w:ascii="Arial" w:hAnsi="Arial" w:cs="Arial"/>
          <w:iCs/>
          <w:sz w:val="22"/>
          <w:szCs w:val="22"/>
          <w:lang w:val="en-ZA"/>
        </w:rPr>
        <w:t xml:space="preserve">a hybrid vehicle </w:t>
      </w:r>
      <w:r w:rsidR="5CFBF70A" w:rsidRPr="00403DF5">
        <w:rPr>
          <w:rFonts w:ascii="Arial" w:hAnsi="Arial" w:cs="Arial"/>
          <w:iCs/>
          <w:sz w:val="22"/>
          <w:szCs w:val="22"/>
          <w:lang w:val="en-ZA"/>
        </w:rPr>
        <w:t xml:space="preserve">would </w:t>
      </w:r>
      <w:r w:rsidR="627C850E" w:rsidRPr="00403DF5">
        <w:rPr>
          <w:rFonts w:ascii="Arial" w:hAnsi="Arial" w:cs="Arial"/>
          <w:iCs/>
          <w:sz w:val="22"/>
          <w:szCs w:val="22"/>
          <w:lang w:val="en-ZA"/>
        </w:rPr>
        <w:t>qualify given that it is electric powered in addition to having an internal combustion engine or would this be interpreted to mean the vehicle must be wholly electric or hydrogen-powered</w:t>
      </w:r>
      <w:r w:rsidRPr="003F111D">
        <w:rPr>
          <w:rFonts w:ascii="Arial" w:hAnsi="Arial" w:cs="Arial"/>
          <w:i/>
          <w:sz w:val="22"/>
          <w:szCs w:val="22"/>
          <w:lang w:val="en-ZA"/>
        </w:rPr>
        <w:t xml:space="preserve">. </w:t>
      </w:r>
    </w:p>
    <w:p w14:paraId="67EB949E" w14:textId="77777777" w:rsidR="00A91516" w:rsidRPr="004C639D" w:rsidRDefault="00A91516" w:rsidP="251BE3F0">
      <w:pPr>
        <w:pStyle w:val="BodyText"/>
        <w:spacing w:before="2"/>
        <w:rPr>
          <w:sz w:val="24"/>
          <w:szCs w:val="24"/>
          <w:lang w:val="en-ZA"/>
        </w:rPr>
      </w:pPr>
    </w:p>
    <w:p w14:paraId="15745F43" w14:textId="58AE6784" w:rsidR="00A91516" w:rsidRPr="003F111D" w:rsidRDefault="1715D414" w:rsidP="0FE5895A">
      <w:pPr>
        <w:pStyle w:val="BodyText"/>
        <w:spacing w:line="271" w:lineRule="auto"/>
        <w:ind w:left="831" w:right="152"/>
        <w:jc w:val="both"/>
        <w:rPr>
          <w:rFonts w:ascii="Arial" w:hAnsi="Arial" w:cs="Arial"/>
          <w:i/>
          <w:iCs/>
          <w:sz w:val="22"/>
          <w:szCs w:val="22"/>
        </w:rPr>
      </w:pPr>
      <w:r w:rsidRPr="0FE5895A">
        <w:rPr>
          <w:rFonts w:ascii="Arial" w:hAnsi="Arial" w:cs="Arial"/>
          <w:i/>
          <w:iCs/>
          <w:sz w:val="22"/>
          <w:szCs w:val="22"/>
        </w:rPr>
        <w:t xml:space="preserve">Response: </w:t>
      </w:r>
      <w:r w:rsidR="088500CE" w:rsidRPr="0FE5895A">
        <w:rPr>
          <w:rFonts w:ascii="Arial" w:hAnsi="Arial" w:cs="Arial"/>
          <w:sz w:val="22"/>
          <w:szCs w:val="22"/>
          <w:u w:val="single"/>
        </w:rPr>
        <w:t>Accepted</w:t>
      </w:r>
      <w:r w:rsidRPr="0FE5895A">
        <w:rPr>
          <w:rFonts w:ascii="Arial" w:hAnsi="Arial" w:cs="Arial"/>
          <w:sz w:val="22"/>
          <w:szCs w:val="22"/>
        </w:rPr>
        <w:t xml:space="preserve">. </w:t>
      </w:r>
      <w:r w:rsidR="4240AB5D" w:rsidRPr="0FE5895A">
        <w:rPr>
          <w:rFonts w:ascii="Arial" w:hAnsi="Arial" w:cs="Arial"/>
          <w:sz w:val="22"/>
          <w:szCs w:val="22"/>
        </w:rPr>
        <w:t xml:space="preserve">Amendments will be made to draft legislation to include a definition </w:t>
      </w:r>
      <w:r w:rsidR="5149C923" w:rsidRPr="0FE5895A">
        <w:rPr>
          <w:rFonts w:ascii="Arial" w:hAnsi="Arial" w:cs="Arial"/>
          <w:sz w:val="22"/>
          <w:szCs w:val="22"/>
        </w:rPr>
        <w:t xml:space="preserve">of </w:t>
      </w:r>
      <w:r w:rsidR="4240AB5D" w:rsidRPr="0FE5895A">
        <w:rPr>
          <w:rFonts w:ascii="Arial" w:hAnsi="Arial" w:cs="Arial"/>
          <w:sz w:val="22"/>
          <w:szCs w:val="22"/>
        </w:rPr>
        <w:t xml:space="preserve">electric and hydrogen-powered vehicles. </w:t>
      </w:r>
      <w:r w:rsidR="4A453685" w:rsidRPr="0FE5895A">
        <w:rPr>
          <w:rFonts w:ascii="Arial" w:hAnsi="Arial" w:cs="Arial"/>
          <w:sz w:val="22"/>
          <w:szCs w:val="22"/>
        </w:rPr>
        <w:t xml:space="preserve">Government is aware </w:t>
      </w:r>
      <w:r w:rsidR="3495E8EB" w:rsidRPr="0FE5895A">
        <w:rPr>
          <w:rFonts w:ascii="Arial" w:hAnsi="Arial" w:cs="Arial"/>
          <w:sz w:val="22"/>
          <w:szCs w:val="22"/>
        </w:rPr>
        <w:t xml:space="preserve">that </w:t>
      </w:r>
      <w:r w:rsidR="4240AB5D" w:rsidRPr="0FE5895A">
        <w:rPr>
          <w:rFonts w:ascii="Arial" w:hAnsi="Arial" w:cs="Arial"/>
          <w:sz w:val="22"/>
          <w:szCs w:val="22"/>
        </w:rPr>
        <w:t xml:space="preserve">the </w:t>
      </w:r>
      <w:r w:rsidR="11D4C7A7" w:rsidRPr="0FE5895A">
        <w:rPr>
          <w:rFonts w:ascii="Arial" w:hAnsi="Arial" w:cs="Arial"/>
          <w:sz w:val="22"/>
          <w:szCs w:val="22"/>
        </w:rPr>
        <w:t xml:space="preserve">DTIC </w:t>
      </w:r>
      <w:r w:rsidR="0444ADAB" w:rsidRPr="0FE5895A">
        <w:rPr>
          <w:rFonts w:ascii="Arial" w:hAnsi="Arial" w:cs="Arial"/>
          <w:sz w:val="22"/>
          <w:szCs w:val="22"/>
        </w:rPr>
        <w:t xml:space="preserve">issued </w:t>
      </w:r>
      <w:r w:rsidR="5F6D29E6" w:rsidRPr="0FE5895A">
        <w:rPr>
          <w:rFonts w:ascii="Arial" w:hAnsi="Arial" w:cs="Arial"/>
          <w:sz w:val="22"/>
          <w:szCs w:val="22"/>
        </w:rPr>
        <w:t>for public comments D</w:t>
      </w:r>
      <w:r w:rsidR="0444ADAB" w:rsidRPr="0FE5895A">
        <w:rPr>
          <w:rFonts w:ascii="Arial" w:hAnsi="Arial" w:cs="Arial"/>
          <w:sz w:val="22"/>
          <w:szCs w:val="22"/>
        </w:rPr>
        <w:t>raft Regulations</w:t>
      </w:r>
      <w:r w:rsidR="3A249910" w:rsidRPr="0FE5895A">
        <w:rPr>
          <w:rFonts w:ascii="Arial" w:hAnsi="Arial" w:cs="Arial"/>
          <w:sz w:val="22"/>
          <w:szCs w:val="22"/>
        </w:rPr>
        <w:t xml:space="preserve"> request</w:t>
      </w:r>
      <w:r w:rsidR="69EE8D1A" w:rsidRPr="0FE5895A">
        <w:rPr>
          <w:rFonts w:ascii="Arial" w:hAnsi="Arial" w:cs="Arial"/>
          <w:sz w:val="22"/>
          <w:szCs w:val="22"/>
        </w:rPr>
        <w:t>ing</w:t>
      </w:r>
      <w:r w:rsidR="3A249910" w:rsidRPr="0FE5895A">
        <w:rPr>
          <w:rFonts w:ascii="Arial" w:hAnsi="Arial" w:cs="Arial"/>
          <w:sz w:val="22"/>
          <w:szCs w:val="22"/>
        </w:rPr>
        <w:t xml:space="preserve"> the </w:t>
      </w:r>
      <w:r w:rsidR="48D60F6A" w:rsidRPr="0FE5895A">
        <w:rPr>
          <w:rFonts w:ascii="Arial" w:hAnsi="Arial" w:cs="Arial"/>
          <w:sz w:val="22"/>
          <w:szCs w:val="22"/>
        </w:rPr>
        <w:t>International Trade Administration Commission (ITAC)</w:t>
      </w:r>
      <w:r w:rsidR="4240AB5D" w:rsidRPr="0FE5895A">
        <w:rPr>
          <w:rFonts w:ascii="Arial" w:hAnsi="Arial" w:cs="Arial"/>
          <w:sz w:val="22"/>
          <w:szCs w:val="22"/>
        </w:rPr>
        <w:t xml:space="preserve"> </w:t>
      </w:r>
      <w:r w:rsidR="02946E2A" w:rsidRPr="0FE5895A">
        <w:rPr>
          <w:rFonts w:ascii="Arial" w:hAnsi="Arial" w:cs="Arial"/>
          <w:sz w:val="22"/>
          <w:szCs w:val="22"/>
        </w:rPr>
        <w:t>to effect amendments to the APDP2 legislative framework,</w:t>
      </w:r>
      <w:r w:rsidR="0F5111D7" w:rsidRPr="0FE5895A">
        <w:rPr>
          <w:rFonts w:ascii="Arial" w:hAnsi="Arial" w:cs="Arial"/>
          <w:sz w:val="22"/>
          <w:szCs w:val="22"/>
        </w:rPr>
        <w:t xml:space="preserve"> </w:t>
      </w:r>
      <w:r w:rsidR="02946E2A" w:rsidRPr="0FE5895A">
        <w:rPr>
          <w:rFonts w:ascii="Arial" w:hAnsi="Arial" w:cs="Arial"/>
          <w:sz w:val="22"/>
          <w:szCs w:val="22"/>
        </w:rPr>
        <w:t>in line with the recommendations of the EV White Paper.</w:t>
      </w:r>
      <w:r w:rsidR="312BCC28" w:rsidRPr="0FE5895A">
        <w:rPr>
          <w:rFonts w:ascii="Arial" w:hAnsi="Arial" w:cs="Arial"/>
          <w:sz w:val="22"/>
          <w:szCs w:val="22"/>
        </w:rPr>
        <w:t xml:space="preserve"> The current draft of these Regulations does not provide definitions of </w:t>
      </w:r>
      <w:r w:rsidR="1E139D96" w:rsidRPr="0FE5895A">
        <w:rPr>
          <w:rFonts w:ascii="Arial" w:hAnsi="Arial" w:cs="Arial"/>
          <w:sz w:val="22"/>
          <w:szCs w:val="22"/>
        </w:rPr>
        <w:t xml:space="preserve">electric and hydrogen-powered vehicles. </w:t>
      </w:r>
      <w:r w:rsidR="2BF52D23" w:rsidRPr="0FE5895A">
        <w:rPr>
          <w:rFonts w:ascii="Arial" w:hAnsi="Arial" w:cs="Arial"/>
          <w:sz w:val="22"/>
          <w:szCs w:val="22"/>
        </w:rPr>
        <w:t xml:space="preserve">However, this </w:t>
      </w:r>
      <w:r w:rsidR="6927D4B7" w:rsidRPr="0FE5895A">
        <w:rPr>
          <w:rFonts w:ascii="Arial" w:hAnsi="Arial" w:cs="Arial"/>
          <w:sz w:val="22"/>
          <w:szCs w:val="22"/>
        </w:rPr>
        <w:t>will</w:t>
      </w:r>
      <w:r w:rsidR="2BF52D23" w:rsidRPr="0FE5895A">
        <w:rPr>
          <w:rFonts w:ascii="Arial" w:hAnsi="Arial" w:cs="Arial"/>
          <w:sz w:val="22"/>
          <w:szCs w:val="22"/>
        </w:rPr>
        <w:t xml:space="preserve"> change </w:t>
      </w:r>
      <w:r w:rsidR="33459E9C" w:rsidRPr="0FE5895A">
        <w:rPr>
          <w:rFonts w:ascii="Arial" w:hAnsi="Arial" w:cs="Arial"/>
          <w:sz w:val="22"/>
          <w:szCs w:val="22"/>
        </w:rPr>
        <w:t xml:space="preserve">when the DTIC publishes detailed </w:t>
      </w:r>
      <w:r w:rsidR="2BF52D23" w:rsidRPr="0FE5895A">
        <w:rPr>
          <w:rFonts w:ascii="Arial" w:hAnsi="Arial" w:cs="Arial"/>
          <w:sz w:val="22"/>
          <w:szCs w:val="22"/>
        </w:rPr>
        <w:t>guid</w:t>
      </w:r>
      <w:r w:rsidR="437DF770" w:rsidRPr="0FE5895A">
        <w:rPr>
          <w:rFonts w:ascii="Arial" w:hAnsi="Arial" w:cs="Arial"/>
          <w:sz w:val="22"/>
          <w:szCs w:val="22"/>
        </w:rPr>
        <w:t xml:space="preserve">elines on the criteria for EVs. </w:t>
      </w:r>
      <w:r w:rsidR="1E139D96" w:rsidRPr="0FE5895A">
        <w:rPr>
          <w:rFonts w:ascii="Arial" w:hAnsi="Arial" w:cs="Arial"/>
          <w:sz w:val="22"/>
          <w:szCs w:val="22"/>
        </w:rPr>
        <w:t xml:space="preserve">An analysis of countries that provide incentives and </w:t>
      </w:r>
      <w:r w:rsidR="28996A4A" w:rsidRPr="0FE5895A">
        <w:rPr>
          <w:rFonts w:ascii="Arial" w:hAnsi="Arial" w:cs="Arial"/>
          <w:sz w:val="22"/>
          <w:szCs w:val="22"/>
        </w:rPr>
        <w:t>subsidies</w:t>
      </w:r>
      <w:r w:rsidR="1E139D96" w:rsidRPr="0FE5895A">
        <w:rPr>
          <w:rFonts w:ascii="Arial" w:hAnsi="Arial" w:cs="Arial"/>
          <w:sz w:val="22"/>
          <w:szCs w:val="22"/>
        </w:rPr>
        <w:t xml:space="preserve"> target</w:t>
      </w:r>
      <w:r w:rsidR="675FA825" w:rsidRPr="0FE5895A">
        <w:rPr>
          <w:rFonts w:ascii="Arial" w:hAnsi="Arial" w:cs="Arial"/>
          <w:sz w:val="22"/>
          <w:szCs w:val="22"/>
        </w:rPr>
        <w:t>ing</w:t>
      </w:r>
      <w:r w:rsidR="19999459" w:rsidRPr="0FE5895A">
        <w:rPr>
          <w:rFonts w:ascii="Arial" w:hAnsi="Arial" w:cs="Arial"/>
          <w:sz w:val="22"/>
          <w:szCs w:val="22"/>
        </w:rPr>
        <w:t xml:space="preserve"> electric and hydrogen-powered vehicles was undertaken. Based on this analysis</w:t>
      </w:r>
      <w:r w:rsidR="1D9E2077" w:rsidRPr="0FE5895A">
        <w:rPr>
          <w:rFonts w:ascii="Arial" w:hAnsi="Arial" w:cs="Arial"/>
          <w:sz w:val="22"/>
          <w:szCs w:val="22"/>
        </w:rPr>
        <w:t>, a</w:t>
      </w:r>
      <w:r w:rsidR="19999459" w:rsidRPr="0FE5895A">
        <w:rPr>
          <w:rFonts w:ascii="Arial" w:hAnsi="Arial" w:cs="Arial"/>
          <w:sz w:val="22"/>
          <w:szCs w:val="22"/>
        </w:rPr>
        <w:t xml:space="preserve"> </w:t>
      </w:r>
      <w:r w:rsidR="15233FD8" w:rsidRPr="0FE5895A">
        <w:rPr>
          <w:rFonts w:ascii="Arial" w:hAnsi="Arial" w:cs="Arial"/>
          <w:sz w:val="22"/>
          <w:szCs w:val="22"/>
        </w:rPr>
        <w:t>definition for electric and hydrogen-powered vehicles was developed</w:t>
      </w:r>
      <w:r w:rsidR="15233FD8" w:rsidRPr="0FE5895A">
        <w:rPr>
          <w:rFonts w:ascii="Arial" w:hAnsi="Arial" w:cs="Arial"/>
          <w:i/>
          <w:iCs/>
          <w:sz w:val="22"/>
          <w:szCs w:val="22"/>
        </w:rPr>
        <w:t>.</w:t>
      </w:r>
      <w:r w:rsidR="19999459" w:rsidRPr="0FE5895A">
        <w:rPr>
          <w:rFonts w:ascii="Arial" w:hAnsi="Arial" w:cs="Arial"/>
          <w:i/>
          <w:iCs/>
          <w:sz w:val="22"/>
          <w:szCs w:val="22"/>
        </w:rPr>
        <w:t xml:space="preserve"> </w:t>
      </w:r>
      <w:r w:rsidR="312BCC28" w:rsidRPr="0FE5895A">
        <w:rPr>
          <w:rFonts w:ascii="Arial" w:hAnsi="Arial" w:cs="Arial"/>
          <w:i/>
          <w:iCs/>
          <w:sz w:val="22"/>
          <w:szCs w:val="22"/>
        </w:rPr>
        <w:t xml:space="preserve"> </w:t>
      </w:r>
    </w:p>
    <w:p w14:paraId="751A487B" w14:textId="5EDB063E" w:rsidR="6BF0EF6B" w:rsidRPr="004C639D" w:rsidRDefault="6BF0EF6B" w:rsidP="6BF0EF6B">
      <w:pPr>
        <w:pStyle w:val="BodyText"/>
        <w:spacing w:line="271" w:lineRule="auto"/>
        <w:ind w:left="831" w:right="152"/>
        <w:jc w:val="both"/>
        <w:rPr>
          <w:rFonts w:ascii="Arial"/>
          <w:lang w:val="en-ZA"/>
        </w:rPr>
      </w:pPr>
    </w:p>
    <w:p w14:paraId="3066F48F" w14:textId="47CB593E" w:rsidR="00A91516" w:rsidRPr="003F111D" w:rsidRDefault="1715D414" w:rsidP="251BE3F0">
      <w:pPr>
        <w:pStyle w:val="BodyText"/>
        <w:spacing w:line="271" w:lineRule="auto"/>
        <w:ind w:left="492" w:right="153"/>
        <w:jc w:val="both"/>
        <w:rPr>
          <w:rFonts w:ascii="Arial" w:hAnsi="Arial" w:cs="Arial"/>
          <w:i/>
          <w:sz w:val="22"/>
          <w:szCs w:val="22"/>
          <w:lang w:val="en-ZA"/>
        </w:rPr>
      </w:pPr>
      <w:r w:rsidRPr="003F111D">
        <w:rPr>
          <w:rFonts w:ascii="Arial" w:hAnsi="Arial" w:cs="Arial"/>
          <w:i/>
          <w:sz w:val="22"/>
          <w:szCs w:val="22"/>
          <w:lang w:val="en-ZA"/>
        </w:rPr>
        <w:t xml:space="preserve">Comment: </w:t>
      </w:r>
      <w:r w:rsidR="33545750" w:rsidRPr="00403DF5">
        <w:rPr>
          <w:rFonts w:ascii="Arial" w:hAnsi="Arial" w:cs="Arial"/>
          <w:iCs/>
          <w:sz w:val="22"/>
          <w:szCs w:val="22"/>
          <w:lang w:val="en-ZA"/>
        </w:rPr>
        <w:t>The word ‘any’ in subsection 12V(1) should be amended to refer to ‘an’ instead of '</w:t>
      </w:r>
      <w:r w:rsidR="4F7B950C" w:rsidRPr="00403DF5">
        <w:rPr>
          <w:rFonts w:ascii="Arial" w:hAnsi="Arial" w:cs="Arial"/>
          <w:iCs/>
          <w:sz w:val="22"/>
          <w:szCs w:val="22"/>
          <w:lang w:val="en-ZA"/>
        </w:rPr>
        <w:t>any</w:t>
      </w:r>
      <w:r w:rsidR="33545750" w:rsidRPr="00403DF5">
        <w:rPr>
          <w:rFonts w:ascii="Arial" w:hAnsi="Arial" w:cs="Arial"/>
          <w:iCs/>
          <w:sz w:val="22"/>
          <w:szCs w:val="22"/>
          <w:lang w:val="en-ZA"/>
        </w:rPr>
        <w:t>'</w:t>
      </w:r>
      <w:r w:rsidR="33545750" w:rsidRPr="003F111D">
        <w:rPr>
          <w:rFonts w:ascii="Arial" w:hAnsi="Arial" w:cs="Arial"/>
          <w:i/>
          <w:sz w:val="22"/>
          <w:szCs w:val="22"/>
          <w:lang w:val="en-ZA"/>
        </w:rPr>
        <w:t>.</w:t>
      </w:r>
    </w:p>
    <w:p w14:paraId="78C0DC46" w14:textId="77777777" w:rsidR="00A91516" w:rsidRPr="004C639D" w:rsidRDefault="00A91516" w:rsidP="251BE3F0">
      <w:pPr>
        <w:pStyle w:val="BodyText"/>
        <w:spacing w:before="2"/>
        <w:rPr>
          <w:sz w:val="24"/>
          <w:szCs w:val="24"/>
          <w:lang w:val="en-ZA"/>
        </w:rPr>
      </w:pPr>
    </w:p>
    <w:p w14:paraId="19CF70D4" w14:textId="72AC12B1" w:rsidR="00A91516" w:rsidRPr="003F111D" w:rsidRDefault="1715D414" w:rsidP="0FE5895A">
      <w:pPr>
        <w:pStyle w:val="BodyText"/>
        <w:spacing w:line="271" w:lineRule="auto"/>
        <w:ind w:left="831" w:right="152"/>
        <w:jc w:val="both"/>
        <w:rPr>
          <w:rFonts w:ascii="Arial" w:hAnsi="Arial" w:cs="Arial"/>
          <w:i/>
          <w:iCs/>
          <w:sz w:val="22"/>
          <w:szCs w:val="22"/>
        </w:rPr>
      </w:pPr>
      <w:r w:rsidRPr="0FE5895A">
        <w:rPr>
          <w:rFonts w:ascii="Arial" w:hAnsi="Arial" w:cs="Arial"/>
          <w:i/>
          <w:iCs/>
          <w:sz w:val="22"/>
          <w:szCs w:val="22"/>
        </w:rPr>
        <w:t xml:space="preserve">Response: </w:t>
      </w:r>
      <w:r w:rsidR="697F9C2A" w:rsidRPr="0FE5895A">
        <w:rPr>
          <w:rFonts w:ascii="Arial" w:hAnsi="Arial" w:cs="Arial"/>
          <w:sz w:val="22"/>
          <w:szCs w:val="22"/>
          <w:u w:val="single"/>
        </w:rPr>
        <w:t>A</w:t>
      </w:r>
      <w:r w:rsidR="16758287" w:rsidRPr="0FE5895A">
        <w:rPr>
          <w:rFonts w:ascii="Arial" w:hAnsi="Arial" w:cs="Arial"/>
          <w:sz w:val="22"/>
          <w:szCs w:val="22"/>
          <w:u w:val="single"/>
        </w:rPr>
        <w:t>ccepted</w:t>
      </w:r>
      <w:r w:rsidRPr="0FE5895A">
        <w:rPr>
          <w:rFonts w:ascii="Arial" w:hAnsi="Arial" w:cs="Arial"/>
          <w:sz w:val="22"/>
          <w:szCs w:val="22"/>
        </w:rPr>
        <w:t xml:space="preserve">. </w:t>
      </w:r>
      <w:r w:rsidR="6C5402D8" w:rsidRPr="0FE5895A">
        <w:rPr>
          <w:rFonts w:ascii="Arial" w:hAnsi="Arial" w:cs="Arial"/>
          <w:sz w:val="22"/>
          <w:szCs w:val="22"/>
        </w:rPr>
        <w:t>Amendments will be made to draft legislation to correct the word</w:t>
      </w:r>
      <w:r w:rsidR="05797EB3" w:rsidRPr="0FE5895A">
        <w:rPr>
          <w:rFonts w:ascii="Arial" w:hAnsi="Arial" w:cs="Arial"/>
          <w:sz w:val="22"/>
          <w:szCs w:val="22"/>
        </w:rPr>
        <w:t>ing</w:t>
      </w:r>
      <w:r w:rsidR="6C5402D8" w:rsidRPr="0FE5895A">
        <w:rPr>
          <w:rFonts w:ascii="Arial" w:hAnsi="Arial" w:cs="Arial"/>
          <w:i/>
          <w:iCs/>
          <w:sz w:val="22"/>
          <w:szCs w:val="22"/>
        </w:rPr>
        <w:t xml:space="preserve">.  </w:t>
      </w:r>
    </w:p>
    <w:p w14:paraId="3FE48D47" w14:textId="525CD7D4" w:rsidR="6BF0EF6B" w:rsidRPr="004C639D" w:rsidRDefault="6BF0EF6B" w:rsidP="6BF0EF6B">
      <w:pPr>
        <w:pStyle w:val="BodyText"/>
        <w:spacing w:line="271" w:lineRule="auto"/>
        <w:ind w:left="831" w:right="152"/>
        <w:jc w:val="both"/>
        <w:rPr>
          <w:rFonts w:ascii="Arial"/>
          <w:lang w:val="en-ZA"/>
        </w:rPr>
      </w:pPr>
    </w:p>
    <w:p w14:paraId="2313D8E6" w14:textId="35CD1173" w:rsidR="00FC42C4" w:rsidRPr="003F111D" w:rsidRDefault="6ADFABEC" w:rsidP="00FC42C4">
      <w:pPr>
        <w:pStyle w:val="BodyText"/>
        <w:spacing w:line="271" w:lineRule="auto"/>
        <w:ind w:left="492" w:right="153"/>
        <w:jc w:val="both"/>
        <w:rPr>
          <w:rFonts w:ascii="Arial" w:hAnsi="Arial" w:cs="Arial"/>
          <w:i/>
          <w:sz w:val="22"/>
          <w:szCs w:val="22"/>
          <w:lang w:val="en-ZA"/>
        </w:rPr>
      </w:pPr>
      <w:r w:rsidRPr="003F111D">
        <w:rPr>
          <w:rFonts w:ascii="Arial" w:hAnsi="Arial" w:cs="Arial"/>
          <w:i/>
          <w:sz w:val="22"/>
          <w:szCs w:val="22"/>
          <w:lang w:val="en-ZA"/>
        </w:rPr>
        <w:t xml:space="preserve">Comment:  </w:t>
      </w:r>
      <w:r w:rsidR="6DD94EBE" w:rsidRPr="00403DF5">
        <w:rPr>
          <w:rFonts w:ascii="Arial" w:hAnsi="Arial" w:cs="Arial"/>
          <w:iCs/>
          <w:sz w:val="22"/>
          <w:szCs w:val="22"/>
          <w:lang w:val="en-ZA"/>
        </w:rPr>
        <w:t>The process of manufacturing of vehicles requires the assembling of parts. For the country to benefits extensively from the electric and hydrogen-powered vehicles industry, incentives must be made available to encourage the local production of parts that will be used in the process of manufacturing electric and hydrogen-powered vehicles.</w:t>
      </w:r>
      <w:r w:rsidR="5B93F1EA" w:rsidRPr="00403DF5">
        <w:rPr>
          <w:rFonts w:ascii="Arial" w:hAnsi="Arial" w:cs="Arial"/>
          <w:iCs/>
          <w:sz w:val="22"/>
          <w:szCs w:val="22"/>
          <w:lang w:val="en-ZA"/>
        </w:rPr>
        <w:t xml:space="preserve"> Component manufacturers will also likely need to modify their production lines in order to meet the requirements of electric and hydrogen powered vehicles to be able to continue to supply  motor vehicle manufacturers.</w:t>
      </w:r>
    </w:p>
    <w:p w14:paraId="7DF64430" w14:textId="77777777" w:rsidR="00FC42C4" w:rsidRPr="004C639D" w:rsidRDefault="00FC42C4" w:rsidP="251BE3F0">
      <w:pPr>
        <w:pStyle w:val="BodyText"/>
        <w:spacing w:before="2"/>
        <w:rPr>
          <w:sz w:val="24"/>
          <w:szCs w:val="24"/>
          <w:lang w:val="en-ZA"/>
        </w:rPr>
      </w:pPr>
    </w:p>
    <w:p w14:paraId="6BA2F286" w14:textId="7653F1F5" w:rsidR="00FC42C4" w:rsidRPr="003F111D" w:rsidRDefault="6ADFABEC" w:rsidP="0FE5895A">
      <w:pPr>
        <w:pStyle w:val="BodyText"/>
        <w:spacing w:line="271" w:lineRule="auto"/>
        <w:ind w:left="831" w:right="152"/>
        <w:jc w:val="both"/>
        <w:rPr>
          <w:rFonts w:ascii="Arial" w:hAnsi="Arial" w:cs="Arial"/>
          <w:i/>
          <w:iCs/>
          <w:sz w:val="22"/>
          <w:szCs w:val="22"/>
        </w:rPr>
      </w:pPr>
      <w:r w:rsidRPr="0FE5895A">
        <w:rPr>
          <w:rFonts w:ascii="Arial" w:hAnsi="Arial" w:cs="Arial"/>
          <w:i/>
          <w:iCs/>
          <w:sz w:val="22"/>
          <w:szCs w:val="22"/>
        </w:rPr>
        <w:t>Response:</w:t>
      </w:r>
      <w:r w:rsidR="00F62B72" w:rsidRPr="0FE5895A">
        <w:rPr>
          <w:rFonts w:ascii="Arial" w:hAnsi="Arial" w:cs="Arial"/>
          <w:i/>
          <w:iCs/>
          <w:sz w:val="22"/>
          <w:szCs w:val="22"/>
        </w:rPr>
        <w:t xml:space="preserve"> </w:t>
      </w:r>
      <w:r w:rsidRPr="0FE5895A">
        <w:rPr>
          <w:rFonts w:ascii="Arial" w:hAnsi="Arial" w:cs="Arial"/>
          <w:sz w:val="22"/>
          <w:szCs w:val="22"/>
          <w:u w:val="single"/>
        </w:rPr>
        <w:t>Not accepted</w:t>
      </w:r>
      <w:r w:rsidRPr="0FE5895A">
        <w:rPr>
          <w:rFonts w:ascii="Arial" w:hAnsi="Arial" w:cs="Arial"/>
          <w:sz w:val="22"/>
          <w:szCs w:val="22"/>
        </w:rPr>
        <w:t>. A</w:t>
      </w:r>
      <w:r w:rsidR="4DBA95B0" w:rsidRPr="0FE5895A">
        <w:rPr>
          <w:rFonts w:ascii="Arial" w:hAnsi="Arial" w:cs="Arial"/>
          <w:sz w:val="22"/>
          <w:szCs w:val="22"/>
        </w:rPr>
        <w:t xml:space="preserve"> different</w:t>
      </w:r>
      <w:r w:rsidR="410389A7" w:rsidRPr="0FE5895A">
        <w:rPr>
          <w:rFonts w:ascii="Arial" w:hAnsi="Arial" w:cs="Arial"/>
          <w:sz w:val="22"/>
          <w:szCs w:val="22"/>
        </w:rPr>
        <w:t xml:space="preserve"> </w:t>
      </w:r>
      <w:r w:rsidR="4DBA95B0" w:rsidRPr="0FE5895A">
        <w:rPr>
          <w:rFonts w:ascii="Arial" w:hAnsi="Arial" w:cs="Arial"/>
          <w:sz w:val="22"/>
          <w:szCs w:val="22"/>
        </w:rPr>
        <w:t>incentive package for component manufacturers was announced</w:t>
      </w:r>
      <w:r w:rsidR="3E4731B5" w:rsidRPr="0FE5895A">
        <w:rPr>
          <w:rFonts w:ascii="Arial" w:hAnsi="Arial" w:cs="Arial"/>
          <w:sz w:val="22"/>
          <w:szCs w:val="22"/>
        </w:rPr>
        <w:t xml:space="preserve"> in the notice issued by the Automative Investment Scheme (A</w:t>
      </w:r>
      <w:r w:rsidR="5B6E02B3" w:rsidRPr="0FE5895A">
        <w:rPr>
          <w:rFonts w:ascii="Arial" w:hAnsi="Arial" w:cs="Arial"/>
          <w:sz w:val="22"/>
          <w:szCs w:val="22"/>
        </w:rPr>
        <w:t>I</w:t>
      </w:r>
      <w:r w:rsidR="3E4731B5" w:rsidRPr="0FE5895A">
        <w:rPr>
          <w:rFonts w:ascii="Arial" w:hAnsi="Arial" w:cs="Arial"/>
          <w:sz w:val="22"/>
          <w:szCs w:val="22"/>
        </w:rPr>
        <w:t>S) in February 2024. The Notice outlined an increased AIS cash grant incentive</w:t>
      </w:r>
      <w:r w:rsidR="47C4811D" w:rsidRPr="0FE5895A">
        <w:rPr>
          <w:rFonts w:ascii="Arial" w:hAnsi="Arial" w:cs="Arial"/>
          <w:sz w:val="22"/>
          <w:szCs w:val="22"/>
        </w:rPr>
        <w:t xml:space="preserve"> of 35 per cent</w:t>
      </w:r>
      <w:r w:rsidR="3E4731B5" w:rsidRPr="0FE5895A">
        <w:rPr>
          <w:rFonts w:ascii="Arial" w:hAnsi="Arial" w:cs="Arial"/>
          <w:sz w:val="22"/>
          <w:szCs w:val="22"/>
        </w:rPr>
        <w:t xml:space="preserve"> for component manufacturers producing for NEVs. Component manufacturers producing parts for </w:t>
      </w:r>
      <w:r w:rsidR="4A5A2873" w:rsidRPr="0FE5895A">
        <w:rPr>
          <w:rFonts w:ascii="Arial" w:hAnsi="Arial" w:cs="Arial"/>
          <w:sz w:val="22"/>
          <w:szCs w:val="22"/>
        </w:rPr>
        <w:t>internal</w:t>
      </w:r>
      <w:r w:rsidR="7C5A359D" w:rsidRPr="0FE5895A">
        <w:rPr>
          <w:rFonts w:ascii="Arial" w:hAnsi="Arial" w:cs="Arial"/>
          <w:sz w:val="22"/>
          <w:szCs w:val="22"/>
        </w:rPr>
        <w:t xml:space="preserve"> </w:t>
      </w:r>
      <w:r w:rsidR="0671A346" w:rsidRPr="0FE5895A">
        <w:rPr>
          <w:rFonts w:ascii="Arial" w:hAnsi="Arial" w:cs="Arial"/>
          <w:sz w:val="22"/>
          <w:szCs w:val="22"/>
        </w:rPr>
        <w:t>c</w:t>
      </w:r>
      <w:r w:rsidR="65917482" w:rsidRPr="0FE5895A">
        <w:rPr>
          <w:rFonts w:ascii="Arial" w:hAnsi="Arial" w:cs="Arial"/>
          <w:sz w:val="22"/>
          <w:szCs w:val="22"/>
        </w:rPr>
        <w:t xml:space="preserve">ombustion </w:t>
      </w:r>
      <w:r w:rsidR="648AAF26" w:rsidRPr="0FE5895A">
        <w:rPr>
          <w:rFonts w:ascii="Arial" w:hAnsi="Arial" w:cs="Arial"/>
          <w:sz w:val="22"/>
          <w:szCs w:val="22"/>
        </w:rPr>
        <w:t>e</w:t>
      </w:r>
      <w:r w:rsidR="76A57A7F" w:rsidRPr="0FE5895A">
        <w:rPr>
          <w:rFonts w:ascii="Arial" w:hAnsi="Arial" w:cs="Arial"/>
          <w:sz w:val="22"/>
          <w:szCs w:val="22"/>
        </w:rPr>
        <w:t>ngine (ICE)</w:t>
      </w:r>
      <w:r w:rsidR="3E4731B5" w:rsidRPr="0FE5895A">
        <w:rPr>
          <w:rFonts w:ascii="Arial" w:hAnsi="Arial" w:cs="Arial"/>
          <w:sz w:val="22"/>
          <w:szCs w:val="22"/>
        </w:rPr>
        <w:t xml:space="preserve"> vehicles can </w:t>
      </w:r>
      <w:r w:rsidR="75F1AC86" w:rsidRPr="0FE5895A">
        <w:rPr>
          <w:rFonts w:ascii="Arial" w:hAnsi="Arial" w:cs="Arial"/>
          <w:sz w:val="22"/>
          <w:szCs w:val="22"/>
        </w:rPr>
        <w:t xml:space="preserve">only </w:t>
      </w:r>
      <w:r w:rsidR="3E4731B5" w:rsidRPr="0FE5895A">
        <w:rPr>
          <w:rFonts w:ascii="Arial" w:hAnsi="Arial" w:cs="Arial"/>
          <w:sz w:val="22"/>
          <w:szCs w:val="22"/>
        </w:rPr>
        <w:t>claim the</w:t>
      </w:r>
      <w:r w:rsidR="42672C25" w:rsidRPr="0FE5895A">
        <w:rPr>
          <w:rFonts w:ascii="Arial" w:hAnsi="Arial" w:cs="Arial"/>
          <w:sz w:val="22"/>
          <w:szCs w:val="22"/>
        </w:rPr>
        <w:t xml:space="preserve"> original 25 per cent AIS cash grant</w:t>
      </w:r>
      <w:r w:rsidR="42672C25" w:rsidRPr="0FE5895A">
        <w:rPr>
          <w:rFonts w:ascii="Arial" w:hAnsi="Arial" w:cs="Arial"/>
          <w:i/>
          <w:iCs/>
          <w:sz w:val="22"/>
          <w:szCs w:val="22"/>
        </w:rPr>
        <w:t>.</w:t>
      </w:r>
      <w:r w:rsidR="4DBA95B0" w:rsidRPr="0FE5895A">
        <w:rPr>
          <w:rFonts w:ascii="Arial" w:hAnsi="Arial" w:cs="Arial"/>
          <w:i/>
          <w:iCs/>
          <w:sz w:val="22"/>
          <w:szCs w:val="22"/>
        </w:rPr>
        <w:t xml:space="preserve">  </w:t>
      </w:r>
    </w:p>
    <w:p w14:paraId="7C9FFB94" w14:textId="77777777" w:rsidR="00FC42C4" w:rsidRPr="004C639D" w:rsidRDefault="00FC42C4" w:rsidP="00A91516">
      <w:pPr>
        <w:pStyle w:val="BodyText"/>
        <w:spacing w:before="1" w:line="271" w:lineRule="auto"/>
        <w:ind w:left="492" w:right="152"/>
        <w:jc w:val="both"/>
        <w:rPr>
          <w:lang w:val="en-ZA"/>
        </w:rPr>
      </w:pPr>
    </w:p>
    <w:p w14:paraId="71F1E151" w14:textId="5CAD24D0" w:rsidR="00FC42C4" w:rsidRPr="003F111D" w:rsidRDefault="6ADFABEC" w:rsidP="6BF0EF6B">
      <w:pPr>
        <w:pStyle w:val="BodyText"/>
        <w:spacing w:line="271" w:lineRule="auto"/>
        <w:ind w:left="492" w:right="153"/>
        <w:jc w:val="both"/>
        <w:rPr>
          <w:rFonts w:ascii="Arial" w:hAnsi="Arial" w:cs="Arial"/>
          <w:i/>
          <w:sz w:val="22"/>
          <w:szCs w:val="22"/>
          <w:lang w:val="en-ZA"/>
        </w:rPr>
      </w:pPr>
      <w:r w:rsidRPr="003F111D">
        <w:rPr>
          <w:rFonts w:ascii="Arial" w:hAnsi="Arial" w:cs="Arial"/>
          <w:i/>
          <w:sz w:val="22"/>
          <w:szCs w:val="22"/>
          <w:lang w:val="en-ZA"/>
        </w:rPr>
        <w:t xml:space="preserve">Comment: </w:t>
      </w:r>
      <w:r w:rsidRPr="00403DF5">
        <w:rPr>
          <w:rFonts w:ascii="Arial" w:hAnsi="Arial" w:cs="Arial"/>
          <w:iCs/>
          <w:sz w:val="22"/>
          <w:szCs w:val="22"/>
          <w:lang w:val="en-ZA"/>
        </w:rPr>
        <w:t>The proposed</w:t>
      </w:r>
      <w:r w:rsidR="1B99F373" w:rsidRPr="00403DF5">
        <w:rPr>
          <w:rFonts w:ascii="Arial" w:hAnsi="Arial" w:cs="Arial"/>
          <w:iCs/>
          <w:sz w:val="22"/>
          <w:szCs w:val="22"/>
          <w:lang w:val="en-ZA"/>
        </w:rPr>
        <w:t xml:space="preserve"> provision provides an allowance based on the cost of new and unused machinery, plant, implements, utensils and articles. However,</w:t>
      </w:r>
      <w:r w:rsidR="486B5373" w:rsidRPr="00403DF5">
        <w:rPr>
          <w:rFonts w:ascii="Arial" w:hAnsi="Arial" w:cs="Arial"/>
          <w:iCs/>
          <w:sz w:val="22"/>
          <w:szCs w:val="22"/>
          <w:lang w:val="en-ZA"/>
        </w:rPr>
        <w:t xml:space="preserve"> in instances where</w:t>
      </w:r>
      <w:r w:rsidR="1B99F373" w:rsidRPr="00403DF5">
        <w:rPr>
          <w:rFonts w:ascii="Arial" w:hAnsi="Arial" w:cs="Arial"/>
          <w:iCs/>
          <w:sz w:val="22"/>
          <w:szCs w:val="22"/>
          <w:lang w:val="en-ZA"/>
        </w:rPr>
        <w:t xml:space="preserve"> the plant and machinery must be mounted to a foundation or supporting structures, the cost of the foundation and supporting structures </w:t>
      </w:r>
      <w:r w:rsidR="44C4509D" w:rsidRPr="00403DF5">
        <w:rPr>
          <w:rFonts w:ascii="Arial" w:hAnsi="Arial" w:cs="Arial"/>
          <w:iCs/>
          <w:sz w:val="22"/>
          <w:szCs w:val="22"/>
          <w:lang w:val="en-ZA"/>
        </w:rPr>
        <w:t>would</w:t>
      </w:r>
      <w:r w:rsidR="1B99F373" w:rsidRPr="00403DF5">
        <w:rPr>
          <w:rFonts w:ascii="Arial" w:hAnsi="Arial" w:cs="Arial"/>
          <w:iCs/>
          <w:sz w:val="22"/>
          <w:szCs w:val="22"/>
          <w:lang w:val="en-ZA"/>
        </w:rPr>
        <w:t xml:space="preserve"> not qualify for the allowance under</w:t>
      </w:r>
      <w:r w:rsidR="463862DF" w:rsidRPr="00403DF5">
        <w:rPr>
          <w:rFonts w:ascii="Arial" w:hAnsi="Arial" w:cs="Arial"/>
          <w:iCs/>
          <w:sz w:val="22"/>
          <w:szCs w:val="22"/>
          <w:lang w:val="en-ZA"/>
        </w:rPr>
        <w:t xml:space="preserve"> the</w:t>
      </w:r>
      <w:r w:rsidR="1B99F373" w:rsidRPr="00403DF5">
        <w:rPr>
          <w:rFonts w:ascii="Arial" w:hAnsi="Arial" w:cs="Arial"/>
          <w:iCs/>
          <w:sz w:val="22"/>
          <w:szCs w:val="22"/>
          <w:lang w:val="en-ZA"/>
        </w:rPr>
        <w:t xml:space="preserve"> proposed section 12V</w:t>
      </w:r>
      <w:r w:rsidR="1B99F373" w:rsidRPr="003F111D">
        <w:rPr>
          <w:rFonts w:ascii="Arial" w:hAnsi="Arial" w:cs="Arial"/>
          <w:i/>
          <w:sz w:val="22"/>
          <w:szCs w:val="22"/>
          <w:lang w:val="en-ZA"/>
        </w:rPr>
        <w:t>.</w:t>
      </w:r>
      <w:r w:rsidRPr="003F111D">
        <w:rPr>
          <w:rFonts w:ascii="Arial" w:hAnsi="Arial" w:cs="Arial"/>
          <w:i/>
          <w:sz w:val="22"/>
          <w:szCs w:val="22"/>
          <w:lang w:val="en-ZA"/>
        </w:rPr>
        <w:t xml:space="preserve"> </w:t>
      </w:r>
    </w:p>
    <w:p w14:paraId="727B0866" w14:textId="233EE6DF" w:rsidR="6BF0EF6B" w:rsidRPr="004C639D" w:rsidRDefault="6BF0EF6B" w:rsidP="6BF0EF6B">
      <w:pPr>
        <w:pStyle w:val="BodyText"/>
        <w:spacing w:line="271" w:lineRule="auto"/>
        <w:ind w:left="492" w:right="153"/>
        <w:jc w:val="both"/>
        <w:rPr>
          <w:lang w:val="en-ZA"/>
        </w:rPr>
      </w:pPr>
    </w:p>
    <w:p w14:paraId="00B64774" w14:textId="6C09D4BA" w:rsidR="002176AC" w:rsidRPr="003F111D" w:rsidRDefault="6ADFABEC" w:rsidP="6BF0EF6B">
      <w:pPr>
        <w:pStyle w:val="BodyText"/>
        <w:spacing w:line="271" w:lineRule="auto"/>
        <w:ind w:left="831" w:right="152"/>
        <w:jc w:val="both"/>
        <w:rPr>
          <w:rFonts w:ascii="Arial" w:hAnsi="Arial" w:cs="Arial"/>
          <w:i/>
          <w:sz w:val="22"/>
          <w:szCs w:val="22"/>
          <w:lang w:val="en-ZA"/>
        </w:rPr>
      </w:pPr>
      <w:r w:rsidRPr="003F111D">
        <w:rPr>
          <w:rFonts w:ascii="Arial" w:hAnsi="Arial" w:cs="Arial"/>
          <w:i/>
          <w:sz w:val="22"/>
          <w:szCs w:val="22"/>
          <w:lang w:val="en-ZA"/>
        </w:rPr>
        <w:t xml:space="preserve">Response: </w:t>
      </w:r>
      <w:r w:rsidR="6D0802C0" w:rsidRPr="00403DF5">
        <w:rPr>
          <w:rFonts w:ascii="Arial" w:hAnsi="Arial" w:cs="Arial"/>
          <w:iCs/>
          <w:sz w:val="22"/>
          <w:szCs w:val="22"/>
          <w:u w:val="single"/>
          <w:lang w:val="en-ZA"/>
        </w:rPr>
        <w:t>A</w:t>
      </w:r>
      <w:r w:rsidRPr="00403DF5">
        <w:rPr>
          <w:rFonts w:ascii="Arial" w:hAnsi="Arial" w:cs="Arial"/>
          <w:iCs/>
          <w:sz w:val="22"/>
          <w:szCs w:val="22"/>
          <w:u w:val="single"/>
          <w:lang w:val="en-ZA"/>
        </w:rPr>
        <w:t>ccepted</w:t>
      </w:r>
      <w:r w:rsidRPr="00403DF5">
        <w:rPr>
          <w:rFonts w:ascii="Arial" w:hAnsi="Arial" w:cs="Arial"/>
          <w:iCs/>
          <w:sz w:val="22"/>
          <w:szCs w:val="22"/>
          <w:lang w:val="en-ZA"/>
        </w:rPr>
        <w:t xml:space="preserve">. </w:t>
      </w:r>
      <w:r w:rsidR="4E4E89BD" w:rsidRPr="00403DF5">
        <w:rPr>
          <w:rFonts w:ascii="Arial" w:hAnsi="Arial" w:cs="Arial"/>
          <w:iCs/>
          <w:sz w:val="22"/>
          <w:szCs w:val="22"/>
          <w:lang w:val="en-ZA"/>
        </w:rPr>
        <w:t>Amendments will be made to draft legislation to include</w:t>
      </w:r>
      <w:r w:rsidR="2D316E7A" w:rsidRPr="00403DF5">
        <w:rPr>
          <w:rFonts w:ascii="Arial" w:hAnsi="Arial" w:cs="Arial"/>
          <w:iCs/>
          <w:sz w:val="22"/>
          <w:szCs w:val="22"/>
          <w:lang w:val="en-ZA"/>
        </w:rPr>
        <w:t xml:space="preserve"> a proviso to section 12V(1) that allow for foundations or supporting structures to which assets qualifying for a section 12V deduction are</w:t>
      </w:r>
      <w:r w:rsidR="3911FF2A" w:rsidRPr="00403DF5">
        <w:rPr>
          <w:rFonts w:ascii="Arial" w:hAnsi="Arial" w:cs="Arial"/>
          <w:iCs/>
          <w:sz w:val="22"/>
          <w:szCs w:val="22"/>
          <w:lang w:val="en-ZA"/>
        </w:rPr>
        <w:t xml:space="preserve"> affixed and which have the same useful life as the assets, to qualify for the </w:t>
      </w:r>
      <w:r w:rsidR="1316928D" w:rsidRPr="00403DF5">
        <w:rPr>
          <w:rFonts w:ascii="Arial" w:hAnsi="Arial" w:cs="Arial"/>
          <w:iCs/>
          <w:sz w:val="22"/>
          <w:szCs w:val="22"/>
          <w:lang w:val="en-ZA"/>
        </w:rPr>
        <w:t>investment</w:t>
      </w:r>
      <w:r w:rsidR="3911FF2A" w:rsidRPr="00403DF5">
        <w:rPr>
          <w:rFonts w:ascii="Arial" w:hAnsi="Arial" w:cs="Arial"/>
          <w:iCs/>
          <w:sz w:val="22"/>
          <w:szCs w:val="22"/>
          <w:lang w:val="en-ZA"/>
        </w:rPr>
        <w:t xml:space="preserve"> allowance</w:t>
      </w:r>
      <w:r w:rsidR="3911FF2A" w:rsidRPr="003F111D">
        <w:rPr>
          <w:rFonts w:ascii="Arial" w:hAnsi="Arial" w:cs="Arial"/>
          <w:i/>
          <w:sz w:val="22"/>
          <w:szCs w:val="22"/>
          <w:lang w:val="en-ZA"/>
        </w:rPr>
        <w:t>.</w:t>
      </w:r>
    </w:p>
    <w:p w14:paraId="55B643BF" w14:textId="2B80C66E" w:rsidR="6BF0EF6B" w:rsidRPr="004C639D" w:rsidRDefault="6BF0EF6B" w:rsidP="6BF0EF6B">
      <w:pPr>
        <w:pStyle w:val="BodyText"/>
        <w:spacing w:line="271" w:lineRule="auto"/>
        <w:ind w:left="831" w:right="152"/>
        <w:jc w:val="both"/>
        <w:rPr>
          <w:rFonts w:ascii="Arial"/>
          <w:lang w:val="en-ZA"/>
        </w:rPr>
      </w:pPr>
    </w:p>
    <w:p w14:paraId="79E8A47F" w14:textId="4B891A2D" w:rsidR="002176AC" w:rsidRPr="003F111D" w:rsidRDefault="2D72D4CF" w:rsidP="251BE3F0">
      <w:pPr>
        <w:pStyle w:val="BodyText"/>
        <w:spacing w:line="271" w:lineRule="auto"/>
        <w:ind w:left="492" w:right="153"/>
        <w:jc w:val="both"/>
        <w:rPr>
          <w:rFonts w:ascii="Arial" w:hAnsi="Arial" w:cs="Arial"/>
          <w:i/>
          <w:sz w:val="22"/>
          <w:szCs w:val="22"/>
          <w:lang w:val="en-ZA"/>
        </w:rPr>
      </w:pPr>
      <w:r w:rsidRPr="003F111D">
        <w:rPr>
          <w:rFonts w:ascii="Arial" w:hAnsi="Arial" w:cs="Arial"/>
          <w:i/>
          <w:sz w:val="22"/>
          <w:szCs w:val="22"/>
          <w:lang w:val="en-ZA"/>
        </w:rPr>
        <w:t xml:space="preserve">Comment: </w:t>
      </w:r>
      <w:r w:rsidR="7792B19B" w:rsidRPr="00403DF5">
        <w:rPr>
          <w:rFonts w:ascii="Arial" w:hAnsi="Arial" w:cs="Arial"/>
          <w:iCs/>
          <w:sz w:val="22"/>
          <w:szCs w:val="22"/>
          <w:lang w:val="en-ZA"/>
        </w:rPr>
        <w:t>The proposed section 12V does not permit a deduction for any improvements to plant machinery used for manufacturing electric or hydrogen-powered vehicles</w:t>
      </w:r>
      <w:r w:rsidR="7792B19B" w:rsidRPr="003F111D">
        <w:rPr>
          <w:rFonts w:ascii="Arial" w:hAnsi="Arial" w:cs="Arial"/>
          <w:i/>
          <w:sz w:val="22"/>
          <w:szCs w:val="22"/>
          <w:lang w:val="en-ZA"/>
        </w:rPr>
        <w:t xml:space="preserve">. </w:t>
      </w:r>
    </w:p>
    <w:p w14:paraId="17ED17CF" w14:textId="77777777" w:rsidR="008040FD" w:rsidRPr="003F111D" w:rsidRDefault="008040FD" w:rsidP="251BE3F0">
      <w:pPr>
        <w:pStyle w:val="BodyText"/>
        <w:spacing w:line="271" w:lineRule="auto"/>
        <w:ind w:left="831" w:right="152"/>
        <w:jc w:val="both"/>
        <w:rPr>
          <w:rFonts w:ascii="Arial"/>
          <w:i/>
          <w:iCs/>
          <w:lang w:val="en-ZA"/>
        </w:rPr>
      </w:pPr>
    </w:p>
    <w:p w14:paraId="6CFB86AF" w14:textId="6D956914" w:rsidR="002176AC" w:rsidRPr="003F111D" w:rsidRDefault="2D72D4CF" w:rsidP="251BE3F0">
      <w:pPr>
        <w:pStyle w:val="BodyText"/>
        <w:spacing w:line="271" w:lineRule="auto"/>
        <w:ind w:left="831" w:right="152"/>
        <w:jc w:val="both"/>
        <w:rPr>
          <w:rFonts w:ascii="Arial" w:hAnsi="Arial" w:cs="Arial"/>
          <w:i/>
          <w:sz w:val="22"/>
          <w:szCs w:val="22"/>
          <w:lang w:val="en-ZA"/>
        </w:rPr>
      </w:pPr>
      <w:r w:rsidRPr="003F111D">
        <w:rPr>
          <w:rFonts w:ascii="Arial" w:hAnsi="Arial" w:cs="Arial"/>
          <w:i/>
          <w:sz w:val="22"/>
          <w:szCs w:val="22"/>
          <w:lang w:val="en-ZA"/>
        </w:rPr>
        <w:t xml:space="preserve">Response: </w:t>
      </w:r>
      <w:r w:rsidR="73072643" w:rsidRPr="00403DF5">
        <w:rPr>
          <w:rFonts w:ascii="Arial" w:hAnsi="Arial" w:cs="Arial"/>
          <w:iCs/>
          <w:sz w:val="22"/>
          <w:szCs w:val="22"/>
          <w:u w:val="single"/>
          <w:lang w:val="en-ZA"/>
        </w:rPr>
        <w:t>Accepted</w:t>
      </w:r>
      <w:r w:rsidR="73072643" w:rsidRPr="00403DF5">
        <w:rPr>
          <w:rFonts w:ascii="Arial" w:hAnsi="Arial" w:cs="Arial"/>
          <w:iCs/>
          <w:sz w:val="22"/>
          <w:szCs w:val="22"/>
          <w:lang w:val="en-ZA"/>
        </w:rPr>
        <w:t>. Amendments will be made to draft legislation to</w:t>
      </w:r>
      <w:r w:rsidRPr="00403DF5">
        <w:rPr>
          <w:rFonts w:ascii="Arial" w:hAnsi="Arial" w:cs="Arial"/>
          <w:iCs/>
          <w:sz w:val="22"/>
          <w:szCs w:val="22"/>
          <w:lang w:val="en-ZA"/>
        </w:rPr>
        <w:t xml:space="preserve"> </w:t>
      </w:r>
      <w:r w:rsidR="0FD9A98A" w:rsidRPr="00403DF5">
        <w:rPr>
          <w:rFonts w:ascii="Arial" w:hAnsi="Arial" w:cs="Arial"/>
          <w:iCs/>
          <w:sz w:val="22"/>
          <w:szCs w:val="22"/>
          <w:lang w:val="en-ZA"/>
        </w:rPr>
        <w:t>include</w:t>
      </w:r>
      <w:r w:rsidR="315A3519" w:rsidRPr="00403DF5">
        <w:rPr>
          <w:rFonts w:ascii="Arial" w:hAnsi="Arial" w:cs="Arial"/>
          <w:iCs/>
          <w:sz w:val="22"/>
          <w:szCs w:val="22"/>
          <w:lang w:val="en-ZA"/>
        </w:rPr>
        <w:t xml:space="preserve"> improvements to plant machinery used for manufacturing electric or hydrogen-powered vehicles</w:t>
      </w:r>
      <w:r w:rsidR="315A3519" w:rsidRPr="003F111D">
        <w:rPr>
          <w:rFonts w:ascii="Arial" w:hAnsi="Arial" w:cs="Arial"/>
          <w:i/>
          <w:sz w:val="22"/>
          <w:szCs w:val="22"/>
          <w:lang w:val="en-ZA"/>
        </w:rPr>
        <w:t>.</w:t>
      </w:r>
    </w:p>
    <w:p w14:paraId="1A5511AF" w14:textId="77777777" w:rsidR="00FC42C4" w:rsidRPr="004C639D" w:rsidRDefault="00FC42C4" w:rsidP="00451234">
      <w:pPr>
        <w:pStyle w:val="BodyText"/>
        <w:spacing w:before="1" w:line="271" w:lineRule="auto"/>
        <w:ind w:right="152"/>
        <w:jc w:val="both"/>
        <w:rPr>
          <w:lang w:val="en-ZA"/>
        </w:rPr>
      </w:pPr>
    </w:p>
    <w:p w14:paraId="27E7200B" w14:textId="58509679" w:rsidR="002176AC" w:rsidRPr="003F111D" w:rsidRDefault="2D72D4CF" w:rsidP="0FE5895A">
      <w:pPr>
        <w:pStyle w:val="BodyText"/>
        <w:spacing w:line="271" w:lineRule="auto"/>
        <w:ind w:left="492" w:right="153"/>
        <w:jc w:val="both"/>
        <w:rPr>
          <w:rFonts w:ascii="Arial" w:hAnsi="Arial" w:cs="Arial"/>
          <w:i/>
          <w:iCs/>
          <w:sz w:val="22"/>
          <w:szCs w:val="22"/>
        </w:rPr>
      </w:pPr>
      <w:r w:rsidRPr="0FE5895A">
        <w:rPr>
          <w:rFonts w:ascii="Arial" w:hAnsi="Arial" w:cs="Arial"/>
          <w:i/>
          <w:iCs/>
          <w:sz w:val="22"/>
          <w:szCs w:val="22"/>
        </w:rPr>
        <w:t xml:space="preserve">Comment: </w:t>
      </w:r>
      <w:r w:rsidR="2BBB21A3" w:rsidRPr="0FE5895A">
        <w:rPr>
          <w:rFonts w:ascii="Arial" w:hAnsi="Arial" w:cs="Arial"/>
          <w:sz w:val="22"/>
          <w:szCs w:val="22"/>
        </w:rPr>
        <w:t>The</w:t>
      </w:r>
      <w:r w:rsidR="5E938F20" w:rsidRPr="0FE5895A">
        <w:rPr>
          <w:rFonts w:ascii="Arial" w:hAnsi="Arial" w:cs="Arial"/>
          <w:sz w:val="22"/>
          <w:szCs w:val="22"/>
        </w:rPr>
        <w:t xml:space="preserve"> scope of the tax incentive should be for all new energy </w:t>
      </w:r>
      <w:r w:rsidR="00634C5C" w:rsidRPr="0FE5895A">
        <w:rPr>
          <w:rFonts w:ascii="Arial" w:hAnsi="Arial" w:cs="Arial"/>
          <w:sz w:val="22"/>
          <w:szCs w:val="22"/>
        </w:rPr>
        <w:t>vehicles</w:t>
      </w:r>
      <w:r w:rsidR="5E938F20" w:rsidRPr="0FE5895A">
        <w:rPr>
          <w:rFonts w:ascii="Arial" w:hAnsi="Arial" w:cs="Arial"/>
          <w:sz w:val="22"/>
          <w:szCs w:val="22"/>
        </w:rPr>
        <w:t xml:space="preserve"> (NEV</w:t>
      </w:r>
      <w:r w:rsidR="5CD01D2F" w:rsidRPr="0FE5895A">
        <w:rPr>
          <w:rFonts w:ascii="Arial" w:hAnsi="Arial" w:cs="Arial"/>
          <w:sz w:val="22"/>
          <w:szCs w:val="22"/>
        </w:rPr>
        <w:t>s</w:t>
      </w:r>
      <w:r w:rsidR="5E938F20" w:rsidRPr="0FE5895A">
        <w:rPr>
          <w:rFonts w:ascii="Arial" w:hAnsi="Arial" w:cs="Arial"/>
          <w:sz w:val="22"/>
          <w:szCs w:val="22"/>
        </w:rPr>
        <w:t>), which includes pl</w:t>
      </w:r>
      <w:r w:rsidR="235FED6A" w:rsidRPr="0FE5895A">
        <w:rPr>
          <w:rFonts w:ascii="Arial" w:hAnsi="Arial" w:cs="Arial"/>
          <w:sz w:val="22"/>
          <w:szCs w:val="22"/>
        </w:rPr>
        <w:t>ug-in hybrid</w:t>
      </w:r>
      <w:r w:rsidR="2880266B" w:rsidRPr="0FE5895A">
        <w:rPr>
          <w:rFonts w:ascii="Arial" w:hAnsi="Arial" w:cs="Arial"/>
          <w:sz w:val="22"/>
          <w:szCs w:val="22"/>
        </w:rPr>
        <w:t xml:space="preserve"> electric vehicles (PHEV) </w:t>
      </w:r>
      <w:r w:rsidR="235FED6A" w:rsidRPr="0FE5895A">
        <w:rPr>
          <w:rFonts w:ascii="Arial" w:hAnsi="Arial" w:cs="Arial"/>
          <w:sz w:val="22"/>
          <w:szCs w:val="22"/>
        </w:rPr>
        <w:t xml:space="preserve">and not </w:t>
      </w:r>
      <w:r w:rsidR="0A6CA662" w:rsidRPr="0FE5895A">
        <w:rPr>
          <w:rFonts w:ascii="Arial" w:hAnsi="Arial" w:cs="Arial"/>
          <w:sz w:val="22"/>
          <w:szCs w:val="22"/>
        </w:rPr>
        <w:t>only</w:t>
      </w:r>
      <w:r w:rsidR="235FED6A" w:rsidRPr="0FE5895A">
        <w:rPr>
          <w:rFonts w:ascii="Arial" w:hAnsi="Arial" w:cs="Arial"/>
          <w:sz w:val="22"/>
          <w:szCs w:val="22"/>
        </w:rPr>
        <w:t xml:space="preserve"> Zero </w:t>
      </w:r>
      <w:r w:rsidR="35029A69" w:rsidRPr="0FE5895A">
        <w:rPr>
          <w:rFonts w:ascii="Arial" w:hAnsi="Arial" w:cs="Arial"/>
          <w:sz w:val="22"/>
          <w:szCs w:val="22"/>
        </w:rPr>
        <w:t>Emissions</w:t>
      </w:r>
      <w:r w:rsidR="235FED6A" w:rsidRPr="0FE5895A">
        <w:rPr>
          <w:rFonts w:ascii="Arial" w:hAnsi="Arial" w:cs="Arial"/>
          <w:sz w:val="22"/>
          <w:szCs w:val="22"/>
        </w:rPr>
        <w:t xml:space="preserve"> Vehicles (ZEVs) </w:t>
      </w:r>
      <w:r w:rsidR="07FC22C8" w:rsidRPr="0FE5895A">
        <w:rPr>
          <w:rFonts w:ascii="Arial" w:hAnsi="Arial" w:cs="Arial"/>
          <w:sz w:val="22"/>
          <w:szCs w:val="22"/>
        </w:rPr>
        <w:t xml:space="preserve">i.e. </w:t>
      </w:r>
      <w:r w:rsidR="312C1A5E" w:rsidRPr="0FE5895A">
        <w:rPr>
          <w:rFonts w:ascii="Arial" w:hAnsi="Arial" w:cs="Arial"/>
          <w:sz w:val="22"/>
          <w:szCs w:val="22"/>
        </w:rPr>
        <w:t xml:space="preserve">electric or hydrogen-powered vehicles only. </w:t>
      </w:r>
      <w:r w:rsidR="0DE671D4" w:rsidRPr="0FE5895A">
        <w:rPr>
          <w:rFonts w:ascii="Arial" w:hAnsi="Arial" w:cs="Arial"/>
          <w:sz w:val="22"/>
          <w:szCs w:val="22"/>
        </w:rPr>
        <w:t xml:space="preserve">It is envisaged that all NEVs will co-exist with </w:t>
      </w:r>
      <w:r w:rsidR="0E63BA69" w:rsidRPr="0FE5895A">
        <w:rPr>
          <w:rFonts w:ascii="Arial" w:hAnsi="Arial" w:cs="Arial"/>
          <w:sz w:val="22"/>
          <w:szCs w:val="22"/>
        </w:rPr>
        <w:t>ZEVs,</w:t>
      </w:r>
      <w:r w:rsidR="0DE671D4" w:rsidRPr="0FE5895A">
        <w:rPr>
          <w:rFonts w:ascii="Arial" w:hAnsi="Arial" w:cs="Arial"/>
          <w:sz w:val="22"/>
          <w:szCs w:val="22"/>
        </w:rPr>
        <w:t xml:space="preserve"> and each will play an equitable role towards decarbo</w:t>
      </w:r>
      <w:r w:rsidR="1DFC39CF" w:rsidRPr="0FE5895A">
        <w:rPr>
          <w:rFonts w:ascii="Arial" w:hAnsi="Arial" w:cs="Arial"/>
          <w:sz w:val="22"/>
          <w:szCs w:val="22"/>
        </w:rPr>
        <w:t>nisation</w:t>
      </w:r>
      <w:r w:rsidR="1DFC39CF" w:rsidRPr="0FE5895A">
        <w:rPr>
          <w:rFonts w:ascii="Arial" w:hAnsi="Arial" w:cs="Arial"/>
          <w:i/>
          <w:iCs/>
          <w:sz w:val="22"/>
          <w:szCs w:val="22"/>
        </w:rPr>
        <w:t xml:space="preserve">.  </w:t>
      </w:r>
      <w:r w:rsidR="235FED6A" w:rsidRPr="0FE5895A">
        <w:rPr>
          <w:rFonts w:ascii="Arial" w:hAnsi="Arial" w:cs="Arial"/>
          <w:i/>
          <w:iCs/>
          <w:sz w:val="22"/>
          <w:szCs w:val="22"/>
        </w:rPr>
        <w:t xml:space="preserve"> </w:t>
      </w:r>
      <w:r w:rsidR="5E938F20" w:rsidRPr="0FE5895A">
        <w:rPr>
          <w:rFonts w:ascii="Arial" w:hAnsi="Arial" w:cs="Arial"/>
          <w:i/>
          <w:iCs/>
          <w:sz w:val="22"/>
          <w:szCs w:val="22"/>
        </w:rPr>
        <w:t xml:space="preserve"> </w:t>
      </w:r>
      <w:r w:rsidR="2BBB21A3" w:rsidRPr="0FE5895A">
        <w:rPr>
          <w:rFonts w:ascii="Arial" w:hAnsi="Arial" w:cs="Arial"/>
          <w:i/>
          <w:iCs/>
          <w:sz w:val="22"/>
          <w:szCs w:val="22"/>
        </w:rPr>
        <w:t xml:space="preserve"> </w:t>
      </w:r>
    </w:p>
    <w:p w14:paraId="02349692" w14:textId="437F809F" w:rsidR="6BF0EF6B" w:rsidRPr="004C639D" w:rsidRDefault="6BF0EF6B" w:rsidP="6BF0EF6B">
      <w:pPr>
        <w:pStyle w:val="BodyText"/>
        <w:spacing w:line="271" w:lineRule="auto"/>
        <w:ind w:left="492" w:right="153"/>
        <w:jc w:val="both"/>
        <w:rPr>
          <w:lang w:val="en-ZA"/>
        </w:rPr>
      </w:pPr>
    </w:p>
    <w:p w14:paraId="3F07E2C5" w14:textId="561FAAC0" w:rsidR="006C2AAF" w:rsidRPr="003F111D" w:rsidRDefault="2DC9826A" w:rsidP="2ACA8997">
      <w:pPr>
        <w:pStyle w:val="BodyText"/>
        <w:spacing w:line="271" w:lineRule="auto"/>
        <w:ind w:left="831" w:right="152"/>
        <w:jc w:val="both"/>
        <w:rPr>
          <w:rFonts w:ascii="Arial" w:hAnsi="Arial" w:cs="Arial"/>
          <w:i/>
          <w:iCs/>
          <w:sz w:val="22"/>
          <w:szCs w:val="22"/>
          <w:lang w:val="en-ZA"/>
        </w:rPr>
      </w:pPr>
      <w:r w:rsidRPr="2ACA8997">
        <w:rPr>
          <w:rFonts w:ascii="Arial" w:hAnsi="Arial" w:cs="Arial"/>
          <w:i/>
          <w:iCs/>
          <w:sz w:val="22"/>
          <w:szCs w:val="22"/>
          <w:lang w:val="en-ZA"/>
        </w:rPr>
        <w:t xml:space="preserve">Response: </w:t>
      </w:r>
      <w:r w:rsidR="7C0AF5DB" w:rsidRPr="2ACA8997">
        <w:rPr>
          <w:rFonts w:ascii="Arial" w:hAnsi="Arial" w:cs="Arial"/>
          <w:sz w:val="22"/>
          <w:szCs w:val="22"/>
          <w:u w:val="single"/>
          <w:lang w:val="en-ZA"/>
        </w:rPr>
        <w:t>Not</w:t>
      </w:r>
      <w:r w:rsidR="65DCE052" w:rsidRPr="2ACA8997">
        <w:rPr>
          <w:rFonts w:ascii="Arial" w:hAnsi="Arial" w:cs="Arial"/>
          <w:sz w:val="22"/>
          <w:szCs w:val="22"/>
          <w:u w:val="single"/>
          <w:lang w:val="en-ZA"/>
        </w:rPr>
        <w:t xml:space="preserve"> </w:t>
      </w:r>
      <w:r w:rsidR="364D5A79" w:rsidRPr="2ACA8997">
        <w:rPr>
          <w:rFonts w:ascii="Arial" w:hAnsi="Arial" w:cs="Arial"/>
          <w:sz w:val="22"/>
          <w:szCs w:val="22"/>
          <w:u w:val="single"/>
          <w:lang w:val="en-ZA"/>
        </w:rPr>
        <w:t>A</w:t>
      </w:r>
      <w:r w:rsidR="65DCE052" w:rsidRPr="2ACA8997">
        <w:rPr>
          <w:rFonts w:ascii="Arial" w:hAnsi="Arial" w:cs="Arial"/>
          <w:sz w:val="22"/>
          <w:szCs w:val="22"/>
          <w:u w:val="single"/>
          <w:lang w:val="en-ZA"/>
        </w:rPr>
        <w:t>ccepted</w:t>
      </w:r>
      <w:r w:rsidRPr="2ACA8997">
        <w:rPr>
          <w:rFonts w:ascii="Arial" w:hAnsi="Arial" w:cs="Arial"/>
          <w:sz w:val="22"/>
          <w:szCs w:val="22"/>
          <w:lang w:val="en-ZA"/>
        </w:rPr>
        <w:t xml:space="preserve">.  </w:t>
      </w:r>
      <w:r w:rsidR="21EA323D" w:rsidRPr="2ACA8997">
        <w:rPr>
          <w:rFonts w:ascii="Arial" w:hAnsi="Arial" w:cs="Arial"/>
          <w:sz w:val="22"/>
          <w:szCs w:val="22"/>
          <w:lang w:val="en-ZA"/>
        </w:rPr>
        <w:t xml:space="preserve">A different </w:t>
      </w:r>
      <w:r w:rsidR="4C06AA06" w:rsidRPr="2ACA8997">
        <w:rPr>
          <w:rFonts w:ascii="Arial" w:hAnsi="Arial" w:cs="Arial"/>
          <w:sz w:val="22"/>
          <w:szCs w:val="22"/>
          <w:lang w:val="en-ZA"/>
        </w:rPr>
        <w:t>support</w:t>
      </w:r>
      <w:r w:rsidR="21EA323D" w:rsidRPr="2ACA8997">
        <w:rPr>
          <w:rFonts w:ascii="Arial" w:hAnsi="Arial" w:cs="Arial"/>
          <w:sz w:val="22"/>
          <w:szCs w:val="22"/>
          <w:lang w:val="en-ZA"/>
        </w:rPr>
        <w:t xml:space="preserve"> package for </w:t>
      </w:r>
      <w:r w:rsidR="4C2D06A6" w:rsidRPr="2ACA8997">
        <w:rPr>
          <w:rFonts w:ascii="Arial" w:hAnsi="Arial" w:cs="Arial"/>
          <w:sz w:val="22"/>
          <w:szCs w:val="22"/>
          <w:lang w:val="en-ZA"/>
        </w:rPr>
        <w:t>h</w:t>
      </w:r>
      <w:r w:rsidR="21EA323D" w:rsidRPr="2ACA8997">
        <w:rPr>
          <w:rFonts w:ascii="Arial" w:hAnsi="Arial" w:cs="Arial"/>
          <w:sz w:val="22"/>
          <w:szCs w:val="22"/>
          <w:lang w:val="en-ZA"/>
        </w:rPr>
        <w:t xml:space="preserve">ybrid and </w:t>
      </w:r>
      <w:r w:rsidR="30BAFC9A" w:rsidRPr="2ACA8997">
        <w:rPr>
          <w:rFonts w:ascii="Arial" w:hAnsi="Arial" w:cs="Arial"/>
          <w:sz w:val="22"/>
          <w:szCs w:val="22"/>
          <w:lang w:val="en-ZA"/>
        </w:rPr>
        <w:t>pl</w:t>
      </w:r>
      <w:r w:rsidR="21EA323D" w:rsidRPr="2ACA8997">
        <w:rPr>
          <w:rFonts w:ascii="Arial" w:hAnsi="Arial" w:cs="Arial"/>
          <w:sz w:val="22"/>
          <w:szCs w:val="22"/>
          <w:lang w:val="en-ZA"/>
        </w:rPr>
        <w:t>ug-in</w:t>
      </w:r>
      <w:r w:rsidR="36D44F64" w:rsidRPr="2ACA8997">
        <w:rPr>
          <w:rFonts w:ascii="Arial" w:hAnsi="Arial" w:cs="Arial"/>
          <w:sz w:val="22"/>
          <w:szCs w:val="22"/>
          <w:lang w:val="en-ZA"/>
        </w:rPr>
        <w:t xml:space="preserve"> </w:t>
      </w:r>
      <w:r w:rsidR="21EA323D" w:rsidRPr="2ACA8997">
        <w:rPr>
          <w:rFonts w:ascii="Arial" w:hAnsi="Arial" w:cs="Arial"/>
          <w:sz w:val="22"/>
          <w:szCs w:val="22"/>
          <w:lang w:val="en-ZA"/>
        </w:rPr>
        <w:t>hybrid electric vehicles</w:t>
      </w:r>
      <w:r w:rsidR="3DED5C92" w:rsidRPr="2ACA8997">
        <w:rPr>
          <w:rFonts w:ascii="Arial" w:hAnsi="Arial" w:cs="Arial"/>
          <w:sz w:val="22"/>
          <w:szCs w:val="22"/>
          <w:lang w:val="en-ZA"/>
        </w:rPr>
        <w:t xml:space="preserve"> is currently available through the APDP 2. In addition,</w:t>
      </w:r>
      <w:r w:rsidR="2BF01998" w:rsidRPr="2ACA8997">
        <w:rPr>
          <w:rFonts w:ascii="Arial" w:hAnsi="Arial" w:cs="Arial"/>
          <w:sz w:val="22"/>
          <w:szCs w:val="22"/>
          <w:lang w:val="en-ZA"/>
        </w:rPr>
        <w:t xml:space="preserve"> these vehicles</w:t>
      </w:r>
      <w:r w:rsidR="3DEF97EF" w:rsidRPr="2ACA8997">
        <w:rPr>
          <w:rFonts w:ascii="Arial" w:hAnsi="Arial" w:cs="Arial"/>
          <w:sz w:val="22"/>
          <w:szCs w:val="22"/>
          <w:lang w:val="en-ZA"/>
        </w:rPr>
        <w:t xml:space="preserve"> are already being produced in South Africa and exported. </w:t>
      </w:r>
      <w:r w:rsidR="30EC9AC1" w:rsidRPr="2ACA8997">
        <w:rPr>
          <w:rFonts w:ascii="Arial" w:hAnsi="Arial" w:cs="Arial"/>
          <w:sz w:val="22"/>
          <w:szCs w:val="22"/>
          <w:lang w:val="en-ZA"/>
        </w:rPr>
        <w:t>The intention of this incentive is not to assist</w:t>
      </w:r>
      <w:r w:rsidR="59C14CE1" w:rsidRPr="2ACA8997">
        <w:rPr>
          <w:rFonts w:ascii="Arial" w:hAnsi="Arial" w:cs="Arial"/>
          <w:sz w:val="22"/>
          <w:szCs w:val="22"/>
          <w:lang w:val="en-ZA"/>
        </w:rPr>
        <w:t xml:space="preserve"> local production of vehicles that is </w:t>
      </w:r>
      <w:r w:rsidR="30EC9AC1" w:rsidRPr="2ACA8997">
        <w:rPr>
          <w:rFonts w:ascii="Arial" w:hAnsi="Arial" w:cs="Arial"/>
          <w:sz w:val="22"/>
          <w:szCs w:val="22"/>
          <w:lang w:val="en-ZA"/>
        </w:rPr>
        <w:t>already</w:t>
      </w:r>
      <w:r w:rsidR="517846BF" w:rsidRPr="2ACA8997">
        <w:rPr>
          <w:rFonts w:ascii="Arial" w:hAnsi="Arial" w:cs="Arial"/>
          <w:sz w:val="22"/>
          <w:szCs w:val="22"/>
          <w:lang w:val="en-ZA"/>
        </w:rPr>
        <w:t xml:space="preserve"> underway</w:t>
      </w:r>
      <w:r w:rsidR="30EC9AC1" w:rsidRPr="2ACA8997">
        <w:rPr>
          <w:rFonts w:ascii="Arial" w:hAnsi="Arial" w:cs="Arial"/>
          <w:sz w:val="22"/>
          <w:szCs w:val="22"/>
          <w:lang w:val="en-ZA"/>
        </w:rPr>
        <w:t>, and which would have proceeded without government assistance</w:t>
      </w:r>
      <w:r w:rsidR="30EC9AC1" w:rsidRPr="2ACA8997">
        <w:rPr>
          <w:rFonts w:ascii="Arial" w:hAnsi="Arial" w:cs="Arial"/>
          <w:i/>
          <w:iCs/>
          <w:sz w:val="22"/>
          <w:szCs w:val="22"/>
          <w:lang w:val="en-ZA"/>
        </w:rPr>
        <w:t>.</w:t>
      </w:r>
      <w:r w:rsidR="4DB13B99" w:rsidRPr="2ACA8997">
        <w:rPr>
          <w:rFonts w:ascii="Arial" w:hAnsi="Arial" w:cs="Arial"/>
          <w:i/>
          <w:iCs/>
          <w:sz w:val="22"/>
          <w:szCs w:val="22"/>
          <w:lang w:val="en-ZA"/>
        </w:rPr>
        <w:t xml:space="preserve"> </w:t>
      </w:r>
    </w:p>
    <w:p w14:paraId="17BBB027" w14:textId="0A7717F2" w:rsidR="6BF0EF6B" w:rsidRPr="004C639D" w:rsidRDefault="6BF0EF6B" w:rsidP="251BE3F0">
      <w:pPr>
        <w:pStyle w:val="BodyText"/>
        <w:spacing w:line="271" w:lineRule="auto"/>
        <w:ind w:left="831" w:right="152"/>
        <w:jc w:val="both"/>
        <w:rPr>
          <w:lang w:val="en-ZA"/>
        </w:rPr>
      </w:pPr>
    </w:p>
    <w:p w14:paraId="5486732E" w14:textId="3D0DE803" w:rsidR="006C2AAF" w:rsidRPr="003F111D" w:rsidRDefault="265AA64F" w:rsidP="006C2AAF">
      <w:pPr>
        <w:pStyle w:val="BodyText"/>
        <w:spacing w:line="271" w:lineRule="auto"/>
        <w:ind w:left="492" w:right="153"/>
        <w:jc w:val="both"/>
        <w:rPr>
          <w:rFonts w:ascii="Arial" w:hAnsi="Arial" w:cs="Arial"/>
          <w:i/>
          <w:sz w:val="22"/>
          <w:szCs w:val="22"/>
          <w:lang w:val="en-ZA"/>
        </w:rPr>
      </w:pPr>
      <w:r w:rsidRPr="003F111D">
        <w:rPr>
          <w:rFonts w:ascii="Arial" w:hAnsi="Arial" w:cs="Arial"/>
          <w:i/>
          <w:sz w:val="22"/>
          <w:szCs w:val="22"/>
          <w:lang w:val="en-ZA"/>
        </w:rPr>
        <w:t xml:space="preserve">Comment: </w:t>
      </w:r>
      <w:r w:rsidR="5790BC58" w:rsidRPr="00403DF5">
        <w:rPr>
          <w:rFonts w:ascii="Arial" w:hAnsi="Arial" w:cs="Arial"/>
          <w:iCs/>
          <w:sz w:val="22"/>
          <w:szCs w:val="22"/>
          <w:lang w:val="en-ZA"/>
        </w:rPr>
        <w:t>Currently no provision is made in the proposed section 12V for improvements made to buildings or land not owned by the taxpayer</w:t>
      </w:r>
      <w:r w:rsidR="5790BC58" w:rsidRPr="003F111D">
        <w:rPr>
          <w:rFonts w:ascii="Arial" w:hAnsi="Arial" w:cs="Arial"/>
          <w:i/>
          <w:sz w:val="22"/>
          <w:szCs w:val="22"/>
          <w:lang w:val="en-ZA"/>
        </w:rPr>
        <w:t xml:space="preserve">. </w:t>
      </w:r>
    </w:p>
    <w:p w14:paraId="1DB7CCBA" w14:textId="77777777" w:rsidR="006C2AAF" w:rsidRPr="004C639D" w:rsidRDefault="006C2AAF" w:rsidP="251BE3F0">
      <w:pPr>
        <w:pStyle w:val="BodyText"/>
        <w:spacing w:before="2"/>
        <w:rPr>
          <w:sz w:val="24"/>
          <w:szCs w:val="24"/>
          <w:lang w:val="en-ZA"/>
        </w:rPr>
      </w:pPr>
    </w:p>
    <w:p w14:paraId="126143AA" w14:textId="3E8646C6" w:rsidR="006C2AAF" w:rsidRPr="00403DF5" w:rsidRDefault="265AA64F" w:rsidP="61CCB6F1">
      <w:pPr>
        <w:pStyle w:val="BodyText"/>
        <w:spacing w:line="271" w:lineRule="auto"/>
        <w:ind w:left="831" w:right="152"/>
        <w:jc w:val="both"/>
        <w:rPr>
          <w:rFonts w:ascii="Arial" w:hAnsi="Arial" w:cs="Arial"/>
          <w:iCs/>
          <w:sz w:val="22"/>
          <w:szCs w:val="22"/>
          <w:lang w:val="en-ZA"/>
        </w:rPr>
      </w:pPr>
      <w:r w:rsidRPr="003F111D">
        <w:rPr>
          <w:rFonts w:ascii="Arial" w:hAnsi="Arial" w:cs="Arial"/>
          <w:i/>
          <w:sz w:val="22"/>
          <w:szCs w:val="22"/>
          <w:lang w:val="en-ZA"/>
        </w:rPr>
        <w:t xml:space="preserve">Response: </w:t>
      </w:r>
      <w:r w:rsidR="10FE7C78" w:rsidRPr="00403DF5">
        <w:rPr>
          <w:rFonts w:ascii="Arial" w:hAnsi="Arial" w:cs="Arial"/>
          <w:iCs/>
          <w:sz w:val="22"/>
          <w:szCs w:val="22"/>
          <w:u w:val="single"/>
          <w:lang w:val="en-ZA"/>
        </w:rPr>
        <w:t>Noted</w:t>
      </w:r>
      <w:r w:rsidRPr="00403DF5">
        <w:rPr>
          <w:rFonts w:ascii="Arial" w:hAnsi="Arial" w:cs="Arial"/>
          <w:iCs/>
          <w:sz w:val="22"/>
          <w:szCs w:val="22"/>
          <w:lang w:val="en-ZA"/>
        </w:rPr>
        <w:t xml:space="preserve">. </w:t>
      </w:r>
      <w:r w:rsidR="7E69AC59" w:rsidRPr="00403DF5">
        <w:rPr>
          <w:rFonts w:ascii="Arial" w:hAnsi="Arial" w:cs="Arial"/>
          <w:iCs/>
          <w:sz w:val="22"/>
          <w:szCs w:val="22"/>
          <w:lang w:val="en-ZA"/>
        </w:rPr>
        <w:t xml:space="preserve">Government is </w:t>
      </w:r>
      <w:r w:rsidR="3F5E1E02" w:rsidRPr="00403DF5">
        <w:rPr>
          <w:rFonts w:ascii="Arial" w:hAnsi="Arial" w:cs="Arial"/>
          <w:iCs/>
          <w:sz w:val="22"/>
          <w:szCs w:val="22"/>
          <w:lang w:val="en-ZA"/>
        </w:rPr>
        <w:t xml:space="preserve">currently reviewing </w:t>
      </w:r>
      <w:r w:rsidR="1FD258ED" w:rsidRPr="00403DF5">
        <w:rPr>
          <w:rFonts w:ascii="Arial" w:hAnsi="Arial" w:cs="Arial"/>
          <w:iCs/>
          <w:sz w:val="22"/>
          <w:szCs w:val="22"/>
          <w:lang w:val="en-ZA"/>
        </w:rPr>
        <w:t xml:space="preserve">provisions </w:t>
      </w:r>
      <w:r w:rsidR="1D726EF8" w:rsidRPr="00403DF5">
        <w:rPr>
          <w:rFonts w:ascii="Arial" w:hAnsi="Arial" w:cs="Arial"/>
          <w:iCs/>
          <w:sz w:val="22"/>
          <w:szCs w:val="22"/>
          <w:lang w:val="en-ZA"/>
        </w:rPr>
        <w:t>pertaining</w:t>
      </w:r>
      <w:r w:rsidR="1FD258ED" w:rsidRPr="00403DF5">
        <w:rPr>
          <w:rFonts w:ascii="Arial" w:hAnsi="Arial" w:cs="Arial"/>
          <w:iCs/>
          <w:sz w:val="22"/>
          <w:szCs w:val="22"/>
          <w:lang w:val="en-ZA"/>
        </w:rPr>
        <w:t xml:space="preserve"> to </w:t>
      </w:r>
      <w:r w:rsidR="584C8CD9" w:rsidRPr="00403DF5">
        <w:rPr>
          <w:rFonts w:ascii="Arial" w:hAnsi="Arial" w:cs="Arial"/>
          <w:iCs/>
          <w:sz w:val="22"/>
          <w:szCs w:val="22"/>
          <w:lang w:val="en-ZA"/>
        </w:rPr>
        <w:t>improvements made to buildings or land not owned by taxpayer</w:t>
      </w:r>
      <w:r w:rsidR="7AC9CED9" w:rsidRPr="00403DF5">
        <w:rPr>
          <w:rFonts w:ascii="Arial" w:hAnsi="Arial" w:cs="Arial"/>
          <w:iCs/>
          <w:sz w:val="22"/>
          <w:szCs w:val="22"/>
          <w:lang w:val="en-ZA"/>
        </w:rPr>
        <w:t>s located</w:t>
      </w:r>
      <w:r w:rsidR="584C8CD9" w:rsidRPr="00403DF5">
        <w:rPr>
          <w:rFonts w:ascii="Arial" w:hAnsi="Arial" w:cs="Arial"/>
          <w:iCs/>
          <w:sz w:val="22"/>
          <w:szCs w:val="22"/>
          <w:lang w:val="en-ZA"/>
        </w:rPr>
        <w:t xml:space="preserve"> </w:t>
      </w:r>
      <w:r w:rsidR="6F035DE1" w:rsidRPr="00403DF5">
        <w:rPr>
          <w:rFonts w:ascii="Arial" w:hAnsi="Arial" w:cs="Arial"/>
          <w:iCs/>
          <w:sz w:val="22"/>
          <w:szCs w:val="22"/>
          <w:lang w:val="en-ZA"/>
        </w:rPr>
        <w:t>in</w:t>
      </w:r>
      <w:r w:rsidR="584C8CD9" w:rsidRPr="00403DF5">
        <w:rPr>
          <w:rFonts w:ascii="Arial" w:hAnsi="Arial" w:cs="Arial"/>
          <w:iCs/>
          <w:sz w:val="22"/>
          <w:szCs w:val="22"/>
          <w:lang w:val="en-ZA"/>
        </w:rPr>
        <w:t xml:space="preserve"> Special Economic Zones.</w:t>
      </w:r>
      <w:r w:rsidR="3F5E1E02" w:rsidRPr="00403DF5">
        <w:rPr>
          <w:rFonts w:ascii="Arial" w:hAnsi="Arial" w:cs="Arial"/>
          <w:iCs/>
          <w:sz w:val="22"/>
          <w:szCs w:val="22"/>
          <w:lang w:val="en-ZA"/>
        </w:rPr>
        <w:t xml:space="preserve"> </w:t>
      </w:r>
    </w:p>
    <w:p w14:paraId="48188D06" w14:textId="1B567D4A" w:rsidR="79936668" w:rsidRPr="004C639D" w:rsidRDefault="79936668" w:rsidP="79936668">
      <w:pPr>
        <w:pStyle w:val="BodyText"/>
        <w:spacing w:line="271" w:lineRule="auto"/>
        <w:ind w:left="831" w:right="152"/>
        <w:jc w:val="both"/>
        <w:rPr>
          <w:rFonts w:ascii="Arial"/>
          <w:lang w:val="en-ZA"/>
        </w:rPr>
      </w:pPr>
    </w:p>
    <w:p w14:paraId="585D3752" w14:textId="31CDB531" w:rsidR="006C2AAF" w:rsidRPr="004C639D" w:rsidRDefault="265AA64F" w:rsidP="5C4D8BB8">
      <w:pPr>
        <w:pStyle w:val="BodyText"/>
        <w:spacing w:line="271" w:lineRule="auto"/>
        <w:ind w:left="492" w:right="153"/>
        <w:jc w:val="both"/>
        <w:rPr>
          <w:rFonts w:ascii="Arial" w:hAnsi="Arial" w:cs="Arial"/>
          <w:i/>
          <w:sz w:val="22"/>
          <w:szCs w:val="22"/>
          <w:lang w:val="en-ZA"/>
        </w:rPr>
      </w:pPr>
      <w:bookmarkStart w:id="91" w:name="_Hlk147897891"/>
      <w:r w:rsidRPr="003F111D">
        <w:rPr>
          <w:rFonts w:ascii="Arial" w:hAnsi="Arial" w:cs="Arial"/>
          <w:i/>
          <w:sz w:val="22"/>
          <w:szCs w:val="22"/>
          <w:lang w:val="en-ZA"/>
        </w:rPr>
        <w:t xml:space="preserve">Comment: </w:t>
      </w:r>
      <w:r w:rsidR="005C8954" w:rsidRPr="00403DF5">
        <w:rPr>
          <w:rFonts w:ascii="Arial" w:hAnsi="Arial" w:cs="Arial"/>
          <w:iCs/>
          <w:sz w:val="22"/>
          <w:szCs w:val="22"/>
          <w:lang w:val="en-ZA"/>
        </w:rPr>
        <w:t xml:space="preserve">The </w:t>
      </w:r>
      <w:r w:rsidR="4627FC45" w:rsidRPr="00403DF5">
        <w:rPr>
          <w:rFonts w:ascii="Arial" w:hAnsi="Arial" w:cs="Arial"/>
          <w:iCs/>
          <w:sz w:val="22"/>
          <w:szCs w:val="22"/>
          <w:lang w:val="en-ZA"/>
        </w:rPr>
        <w:t>proposal whereby no other allowances would be available where a taxpayer has ever claimed a section 12V allowance in respect of the asset will act as a major deterrent to investment. For instance, some taxpayers may</w:t>
      </w:r>
      <w:r w:rsidR="0F9A0E58" w:rsidRPr="00403DF5">
        <w:rPr>
          <w:rFonts w:ascii="Arial" w:hAnsi="Arial" w:cs="Arial"/>
          <w:iCs/>
          <w:sz w:val="22"/>
          <w:szCs w:val="22"/>
          <w:lang w:val="en-ZA"/>
        </w:rPr>
        <w:t xml:space="preserve"> be prompted by the tax incentive to</w:t>
      </w:r>
      <w:r w:rsidR="4627FC45" w:rsidRPr="00403DF5">
        <w:rPr>
          <w:rFonts w:ascii="Arial" w:hAnsi="Arial" w:cs="Arial"/>
          <w:iCs/>
          <w:sz w:val="22"/>
          <w:szCs w:val="22"/>
          <w:lang w:val="en-ZA"/>
        </w:rPr>
        <w:t xml:space="preserve"> construct a facility</w:t>
      </w:r>
      <w:r w:rsidR="37ED8335" w:rsidRPr="00403DF5">
        <w:rPr>
          <w:rFonts w:ascii="Arial" w:hAnsi="Arial" w:cs="Arial"/>
          <w:iCs/>
          <w:sz w:val="22"/>
          <w:szCs w:val="22"/>
          <w:lang w:val="en-ZA"/>
        </w:rPr>
        <w:t xml:space="preserve"> to be used in the production of</w:t>
      </w:r>
      <w:r w:rsidR="4627FC45" w:rsidRPr="00403DF5">
        <w:rPr>
          <w:rFonts w:ascii="Arial" w:hAnsi="Arial" w:cs="Arial"/>
          <w:iCs/>
          <w:sz w:val="22"/>
          <w:szCs w:val="22"/>
          <w:lang w:val="en-ZA"/>
        </w:rPr>
        <w:t xml:space="preserve"> </w:t>
      </w:r>
      <w:r w:rsidR="37ED8335" w:rsidRPr="00403DF5">
        <w:rPr>
          <w:rFonts w:ascii="Arial" w:hAnsi="Arial" w:cs="Arial"/>
          <w:iCs/>
          <w:sz w:val="22"/>
          <w:szCs w:val="22"/>
          <w:lang w:val="en-ZA"/>
        </w:rPr>
        <w:t>electric or hydrogen-powered vehicles</w:t>
      </w:r>
      <w:r w:rsidR="4627FC45" w:rsidRPr="00403DF5">
        <w:rPr>
          <w:rFonts w:ascii="Arial" w:hAnsi="Arial" w:cs="Arial"/>
          <w:iCs/>
          <w:sz w:val="22"/>
          <w:szCs w:val="22"/>
          <w:lang w:val="en-ZA"/>
        </w:rPr>
        <w:t xml:space="preserve"> which later proves economically unsustainable and </w:t>
      </w:r>
      <w:r w:rsidR="3D473FAC" w:rsidRPr="00403DF5">
        <w:rPr>
          <w:rFonts w:ascii="Arial" w:hAnsi="Arial" w:cs="Arial"/>
          <w:iCs/>
          <w:sz w:val="22"/>
          <w:szCs w:val="22"/>
          <w:lang w:val="en-ZA"/>
        </w:rPr>
        <w:t xml:space="preserve">decide to use </w:t>
      </w:r>
      <w:r w:rsidR="4627FC45" w:rsidRPr="00403DF5">
        <w:rPr>
          <w:rFonts w:ascii="Arial" w:hAnsi="Arial" w:cs="Arial"/>
          <w:iCs/>
          <w:sz w:val="22"/>
          <w:szCs w:val="22"/>
          <w:lang w:val="en-ZA"/>
        </w:rPr>
        <w:t xml:space="preserve">the assets </w:t>
      </w:r>
      <w:r w:rsidR="336EEA54" w:rsidRPr="00403DF5">
        <w:rPr>
          <w:rFonts w:ascii="Arial" w:hAnsi="Arial" w:cs="Arial"/>
          <w:iCs/>
          <w:sz w:val="22"/>
          <w:szCs w:val="22"/>
          <w:lang w:val="en-ZA"/>
        </w:rPr>
        <w:t>in</w:t>
      </w:r>
      <w:r w:rsidR="4627FC45" w:rsidRPr="00403DF5">
        <w:rPr>
          <w:rFonts w:ascii="Arial" w:hAnsi="Arial" w:cs="Arial"/>
          <w:iCs/>
          <w:sz w:val="22"/>
          <w:szCs w:val="22"/>
          <w:lang w:val="en-ZA"/>
        </w:rPr>
        <w:t xml:space="preserve"> another trade</w:t>
      </w:r>
      <w:r w:rsidR="0A296E6B" w:rsidRPr="00403DF5">
        <w:rPr>
          <w:rFonts w:ascii="Arial" w:hAnsi="Arial" w:cs="Arial"/>
          <w:iCs/>
          <w:sz w:val="22"/>
          <w:szCs w:val="22"/>
          <w:lang w:val="en-ZA"/>
        </w:rPr>
        <w:t xml:space="preserve">. Based on the current </w:t>
      </w:r>
      <w:r w:rsidR="0F727981" w:rsidRPr="00403DF5">
        <w:rPr>
          <w:rFonts w:ascii="Arial" w:hAnsi="Arial" w:cs="Arial"/>
          <w:iCs/>
          <w:sz w:val="22"/>
          <w:szCs w:val="22"/>
          <w:lang w:val="en-ZA"/>
        </w:rPr>
        <w:t>provisions</w:t>
      </w:r>
      <w:r w:rsidR="4627FC45" w:rsidRPr="00403DF5">
        <w:rPr>
          <w:rFonts w:ascii="Arial" w:hAnsi="Arial" w:cs="Arial"/>
          <w:iCs/>
          <w:sz w:val="22"/>
          <w:szCs w:val="22"/>
          <w:lang w:val="en-ZA"/>
        </w:rPr>
        <w:t xml:space="preserve"> the taxpayer will be prohibited from claiming any allowances </w:t>
      </w:r>
      <w:r w:rsidR="514DB8EA" w:rsidRPr="00403DF5">
        <w:rPr>
          <w:rFonts w:ascii="Arial" w:hAnsi="Arial" w:cs="Arial"/>
          <w:iCs/>
          <w:sz w:val="22"/>
          <w:szCs w:val="22"/>
          <w:lang w:val="en-ZA"/>
        </w:rPr>
        <w:t>in the future</w:t>
      </w:r>
      <w:r w:rsidR="4627FC45" w:rsidRPr="00403DF5">
        <w:rPr>
          <w:rFonts w:ascii="Arial" w:hAnsi="Arial" w:cs="Arial"/>
          <w:iCs/>
          <w:sz w:val="22"/>
          <w:szCs w:val="22"/>
          <w:lang w:val="en-ZA"/>
        </w:rPr>
        <w:t xml:space="preserve"> in terms of sections 12C, 13(1) or 13quat in respect of th</w:t>
      </w:r>
      <w:r w:rsidR="41C15D56" w:rsidRPr="00403DF5">
        <w:rPr>
          <w:rFonts w:ascii="Arial" w:hAnsi="Arial" w:cs="Arial"/>
          <w:iCs/>
          <w:sz w:val="22"/>
          <w:szCs w:val="22"/>
          <w:lang w:val="en-ZA"/>
        </w:rPr>
        <w:t>at</w:t>
      </w:r>
      <w:r w:rsidR="4627FC45" w:rsidRPr="00403DF5">
        <w:rPr>
          <w:rFonts w:ascii="Arial" w:hAnsi="Arial" w:cs="Arial"/>
          <w:iCs/>
          <w:sz w:val="22"/>
          <w:szCs w:val="22"/>
          <w:lang w:val="en-ZA"/>
        </w:rPr>
        <w:t xml:space="preserve"> assets because the assets once qualified for the section 12V allowance</w:t>
      </w:r>
      <w:r w:rsidR="4627FC45" w:rsidRPr="003F111D">
        <w:rPr>
          <w:rFonts w:ascii="Arial" w:hAnsi="Arial" w:cs="Arial"/>
          <w:i/>
          <w:sz w:val="22"/>
          <w:szCs w:val="22"/>
          <w:lang w:val="en-ZA"/>
        </w:rPr>
        <w:t xml:space="preserve">. </w:t>
      </w:r>
    </w:p>
    <w:p w14:paraId="1BBF737D" w14:textId="77777777" w:rsidR="00877C12" w:rsidRPr="003F111D" w:rsidRDefault="00877C12" w:rsidP="5C4D8BB8">
      <w:pPr>
        <w:pStyle w:val="BodyText"/>
        <w:spacing w:line="271" w:lineRule="auto"/>
        <w:ind w:left="492" w:right="153"/>
        <w:jc w:val="both"/>
        <w:rPr>
          <w:rFonts w:ascii="Arial" w:hAnsi="Arial" w:cs="Arial"/>
          <w:i/>
          <w:sz w:val="22"/>
          <w:szCs w:val="22"/>
          <w:lang w:val="en-ZA"/>
        </w:rPr>
      </w:pPr>
    </w:p>
    <w:p w14:paraId="7A18A289" w14:textId="425147C1" w:rsidR="002A7C61" w:rsidRPr="003F111D" w:rsidRDefault="265AA64F" w:rsidP="0FE5895A">
      <w:pPr>
        <w:pStyle w:val="BodyText"/>
        <w:spacing w:line="271" w:lineRule="auto"/>
        <w:ind w:left="831" w:right="152"/>
        <w:jc w:val="both"/>
        <w:rPr>
          <w:rFonts w:ascii="Arial" w:hAnsi="Arial" w:cs="Arial"/>
          <w:i/>
          <w:iCs/>
          <w:sz w:val="22"/>
          <w:szCs w:val="22"/>
        </w:rPr>
      </w:pPr>
      <w:r w:rsidRPr="0FE5895A">
        <w:rPr>
          <w:rFonts w:ascii="Arial" w:hAnsi="Arial" w:cs="Arial"/>
          <w:i/>
          <w:iCs/>
          <w:sz w:val="22"/>
          <w:szCs w:val="22"/>
        </w:rPr>
        <w:t xml:space="preserve">Response: </w:t>
      </w:r>
      <w:r w:rsidRPr="0FE5895A">
        <w:rPr>
          <w:rFonts w:ascii="Arial" w:hAnsi="Arial" w:cs="Arial"/>
          <w:sz w:val="22"/>
          <w:szCs w:val="22"/>
          <w:u w:val="single"/>
        </w:rPr>
        <w:t>Not</w:t>
      </w:r>
      <w:r w:rsidR="005C8954" w:rsidRPr="0FE5895A">
        <w:rPr>
          <w:rFonts w:ascii="Arial" w:hAnsi="Arial" w:cs="Arial"/>
          <w:sz w:val="22"/>
          <w:szCs w:val="22"/>
          <w:u w:val="single"/>
        </w:rPr>
        <w:t xml:space="preserve"> accepted</w:t>
      </w:r>
      <w:r w:rsidRPr="0FE5895A">
        <w:rPr>
          <w:rFonts w:ascii="Arial" w:hAnsi="Arial" w:cs="Arial"/>
          <w:sz w:val="22"/>
          <w:szCs w:val="22"/>
        </w:rPr>
        <w:t xml:space="preserve">. </w:t>
      </w:r>
      <w:r w:rsidR="788D3F32" w:rsidRPr="0FE5895A">
        <w:rPr>
          <w:rFonts w:ascii="Arial" w:hAnsi="Arial" w:cs="Arial"/>
          <w:sz w:val="22"/>
          <w:szCs w:val="22"/>
        </w:rPr>
        <w:t xml:space="preserve">It is </w:t>
      </w:r>
      <w:r w:rsidR="4DCC36D0" w:rsidRPr="0FE5895A">
        <w:rPr>
          <w:rFonts w:ascii="Arial" w:hAnsi="Arial" w:cs="Arial"/>
          <w:sz w:val="22"/>
          <w:szCs w:val="22"/>
        </w:rPr>
        <w:t>Government</w:t>
      </w:r>
      <w:r w:rsidR="11F83A4B" w:rsidRPr="0FE5895A">
        <w:rPr>
          <w:rFonts w:ascii="Arial" w:hAnsi="Arial" w:cs="Arial"/>
          <w:sz w:val="22"/>
          <w:szCs w:val="22"/>
        </w:rPr>
        <w:t>'s intention</w:t>
      </w:r>
      <w:r w:rsidR="4DCC36D0" w:rsidRPr="0FE5895A">
        <w:rPr>
          <w:rFonts w:ascii="Arial" w:hAnsi="Arial" w:cs="Arial"/>
          <w:sz w:val="22"/>
          <w:szCs w:val="22"/>
        </w:rPr>
        <w:t xml:space="preserve"> to restrict the availability of other allowances</w:t>
      </w:r>
      <w:r w:rsidR="7B555EDE" w:rsidRPr="0FE5895A">
        <w:rPr>
          <w:rFonts w:ascii="Arial" w:hAnsi="Arial" w:cs="Arial"/>
          <w:sz w:val="22"/>
          <w:szCs w:val="22"/>
        </w:rPr>
        <w:t xml:space="preserve"> where a section 12V tax allowance was granted. This is</w:t>
      </w:r>
      <w:r w:rsidR="4DCC36D0" w:rsidRPr="0FE5895A">
        <w:rPr>
          <w:rFonts w:ascii="Arial" w:hAnsi="Arial" w:cs="Arial"/>
          <w:sz w:val="22"/>
          <w:szCs w:val="22"/>
        </w:rPr>
        <w:t xml:space="preserve"> to ensure that the incentive </w:t>
      </w:r>
      <w:r w:rsidR="51F04BB9" w:rsidRPr="0FE5895A">
        <w:rPr>
          <w:rFonts w:ascii="Arial" w:hAnsi="Arial" w:cs="Arial"/>
          <w:sz w:val="22"/>
          <w:szCs w:val="22"/>
        </w:rPr>
        <w:t>is targeted at</w:t>
      </w:r>
      <w:r w:rsidR="4DCC36D0" w:rsidRPr="0FE5895A">
        <w:rPr>
          <w:rFonts w:ascii="Arial" w:hAnsi="Arial" w:cs="Arial"/>
          <w:sz w:val="22"/>
          <w:szCs w:val="22"/>
        </w:rPr>
        <w:t xml:space="preserve"> the local production of electric and hydrogen-powered</w:t>
      </w:r>
      <w:r w:rsidR="1E58F4E9" w:rsidRPr="0FE5895A">
        <w:rPr>
          <w:rFonts w:ascii="Arial" w:hAnsi="Arial" w:cs="Arial"/>
          <w:sz w:val="22"/>
          <w:szCs w:val="22"/>
        </w:rPr>
        <w:t xml:space="preserve"> </w:t>
      </w:r>
      <w:r w:rsidR="4DCC36D0" w:rsidRPr="0FE5895A">
        <w:rPr>
          <w:rFonts w:ascii="Arial" w:hAnsi="Arial" w:cs="Arial"/>
          <w:sz w:val="22"/>
          <w:szCs w:val="22"/>
        </w:rPr>
        <w:t>vehicles and companies invest in assets that will be mainly used</w:t>
      </w:r>
      <w:r w:rsidR="6BB428FF" w:rsidRPr="0FE5895A">
        <w:rPr>
          <w:rFonts w:ascii="Arial" w:hAnsi="Arial" w:cs="Arial"/>
          <w:sz w:val="22"/>
          <w:szCs w:val="22"/>
        </w:rPr>
        <w:t xml:space="preserve"> </w:t>
      </w:r>
      <w:r w:rsidR="4DCC36D0" w:rsidRPr="0FE5895A">
        <w:rPr>
          <w:rFonts w:ascii="Arial" w:hAnsi="Arial" w:cs="Arial"/>
          <w:sz w:val="22"/>
          <w:szCs w:val="22"/>
        </w:rPr>
        <w:t>t</w:t>
      </w:r>
      <w:r w:rsidR="4C2028C2" w:rsidRPr="0FE5895A">
        <w:rPr>
          <w:rFonts w:ascii="Arial" w:hAnsi="Arial" w:cs="Arial"/>
          <w:sz w:val="22"/>
          <w:szCs w:val="22"/>
        </w:rPr>
        <w:t>o</w:t>
      </w:r>
      <w:r w:rsidR="4DCC36D0" w:rsidRPr="0FE5895A">
        <w:rPr>
          <w:rFonts w:ascii="Arial" w:hAnsi="Arial" w:cs="Arial"/>
          <w:sz w:val="22"/>
          <w:szCs w:val="22"/>
        </w:rPr>
        <w:t xml:space="preserve"> produc</w:t>
      </w:r>
      <w:r w:rsidR="0AEFDA83" w:rsidRPr="0FE5895A">
        <w:rPr>
          <w:rFonts w:ascii="Arial" w:hAnsi="Arial" w:cs="Arial"/>
          <w:sz w:val="22"/>
          <w:szCs w:val="22"/>
        </w:rPr>
        <w:t>e</w:t>
      </w:r>
      <w:r w:rsidR="4EC58C8E" w:rsidRPr="0FE5895A">
        <w:rPr>
          <w:rFonts w:ascii="Arial" w:hAnsi="Arial" w:cs="Arial"/>
          <w:sz w:val="22"/>
          <w:szCs w:val="22"/>
        </w:rPr>
        <w:t xml:space="preserve"> </w:t>
      </w:r>
      <w:r w:rsidR="65B3735C" w:rsidRPr="0FE5895A">
        <w:rPr>
          <w:rFonts w:ascii="Arial" w:hAnsi="Arial" w:cs="Arial"/>
          <w:sz w:val="22"/>
          <w:szCs w:val="22"/>
        </w:rPr>
        <w:t xml:space="preserve">electric and hydrogen-powered vehicles </w:t>
      </w:r>
      <w:r w:rsidR="4DCC36D0" w:rsidRPr="0FE5895A">
        <w:rPr>
          <w:rFonts w:ascii="Arial" w:hAnsi="Arial" w:cs="Arial"/>
          <w:sz w:val="22"/>
          <w:szCs w:val="22"/>
        </w:rPr>
        <w:t xml:space="preserve">and not easily repurposed </w:t>
      </w:r>
      <w:r w:rsidR="13EE958F" w:rsidRPr="0FE5895A">
        <w:rPr>
          <w:rFonts w:ascii="Arial" w:hAnsi="Arial" w:cs="Arial"/>
          <w:sz w:val="22"/>
          <w:szCs w:val="22"/>
        </w:rPr>
        <w:t>to produce</w:t>
      </w:r>
      <w:r w:rsidR="4DCC36D0" w:rsidRPr="0FE5895A">
        <w:rPr>
          <w:rFonts w:ascii="Arial" w:hAnsi="Arial" w:cs="Arial"/>
          <w:sz w:val="22"/>
          <w:szCs w:val="22"/>
        </w:rPr>
        <w:t xml:space="preserve"> </w:t>
      </w:r>
      <w:r w:rsidR="4BF1E642" w:rsidRPr="0FE5895A">
        <w:rPr>
          <w:rFonts w:ascii="Arial" w:hAnsi="Arial" w:cs="Arial"/>
          <w:sz w:val="22"/>
          <w:szCs w:val="22"/>
        </w:rPr>
        <w:t>other</w:t>
      </w:r>
      <w:r w:rsidR="4DCC36D0" w:rsidRPr="0FE5895A">
        <w:rPr>
          <w:rFonts w:ascii="Arial" w:hAnsi="Arial" w:cs="Arial"/>
          <w:sz w:val="22"/>
          <w:szCs w:val="22"/>
        </w:rPr>
        <w:t xml:space="preserve"> vehicles</w:t>
      </w:r>
      <w:r w:rsidR="4DCC36D0" w:rsidRPr="0FE5895A">
        <w:rPr>
          <w:rFonts w:ascii="Arial" w:hAnsi="Arial" w:cs="Arial"/>
          <w:i/>
          <w:iCs/>
          <w:sz w:val="22"/>
          <w:szCs w:val="22"/>
        </w:rPr>
        <w:t xml:space="preserve">. </w:t>
      </w:r>
      <w:bookmarkEnd w:id="91"/>
      <w:r w:rsidR="662F8A49" w:rsidRPr="0FE5895A">
        <w:rPr>
          <w:rFonts w:ascii="Arial" w:hAnsi="Arial" w:cs="Arial"/>
          <w:i/>
          <w:iCs/>
          <w:sz w:val="22"/>
          <w:szCs w:val="22"/>
        </w:rPr>
        <w:t xml:space="preserve"> </w:t>
      </w:r>
      <w:r w:rsidR="40E78E56" w:rsidRPr="0FE5895A">
        <w:rPr>
          <w:rFonts w:ascii="Arial" w:hAnsi="Arial" w:cs="Arial"/>
          <w:i/>
          <w:iCs/>
          <w:sz w:val="22"/>
          <w:szCs w:val="22"/>
        </w:rPr>
        <w:t xml:space="preserve"> </w:t>
      </w:r>
    </w:p>
    <w:p w14:paraId="5AA59948" w14:textId="5401C450" w:rsidR="42D14FD6" w:rsidRPr="004C639D" w:rsidRDefault="42D14FD6" w:rsidP="42D14FD6">
      <w:pPr>
        <w:pStyle w:val="BodyText"/>
        <w:spacing w:line="271" w:lineRule="auto"/>
        <w:ind w:left="831" w:right="152"/>
        <w:jc w:val="both"/>
        <w:rPr>
          <w:rFonts w:ascii="Arial"/>
          <w:lang w:val="en-ZA"/>
        </w:rPr>
      </w:pPr>
    </w:p>
    <w:p w14:paraId="078DDB34" w14:textId="06DA8AF2" w:rsidR="006C2AAF" w:rsidRPr="003F111D" w:rsidRDefault="265AA64F" w:rsidP="6576B1A7">
      <w:pPr>
        <w:pStyle w:val="BodyText"/>
        <w:spacing w:line="271" w:lineRule="auto"/>
        <w:ind w:left="492" w:right="153"/>
        <w:jc w:val="both"/>
        <w:rPr>
          <w:rFonts w:ascii="Arial" w:hAnsi="Arial" w:cs="Arial"/>
          <w:i/>
          <w:sz w:val="22"/>
          <w:szCs w:val="22"/>
          <w:lang w:val="en-ZA"/>
        </w:rPr>
      </w:pPr>
      <w:r w:rsidRPr="003F111D">
        <w:rPr>
          <w:rFonts w:ascii="Arial" w:hAnsi="Arial" w:cs="Arial"/>
          <w:i/>
          <w:sz w:val="22"/>
          <w:szCs w:val="22"/>
          <w:lang w:val="en-ZA"/>
        </w:rPr>
        <w:t xml:space="preserve">Comment: </w:t>
      </w:r>
      <w:r w:rsidR="3B5A52AE" w:rsidRPr="00403DF5">
        <w:rPr>
          <w:rFonts w:ascii="Arial" w:hAnsi="Arial" w:cs="Arial"/>
          <w:iCs/>
          <w:sz w:val="22"/>
          <w:szCs w:val="22"/>
          <w:lang w:val="en-ZA"/>
        </w:rPr>
        <w:t xml:space="preserve">The </w:t>
      </w:r>
      <w:r w:rsidR="3189D43E" w:rsidRPr="00403DF5">
        <w:rPr>
          <w:rFonts w:ascii="Arial" w:hAnsi="Arial" w:cs="Arial"/>
          <w:iCs/>
          <w:sz w:val="22"/>
          <w:szCs w:val="22"/>
          <w:lang w:val="en-ZA"/>
        </w:rPr>
        <w:t xml:space="preserve">proposed </w:t>
      </w:r>
      <w:r w:rsidR="3B5A52AE" w:rsidRPr="00403DF5">
        <w:rPr>
          <w:rFonts w:ascii="Arial" w:hAnsi="Arial" w:cs="Arial"/>
          <w:iCs/>
          <w:sz w:val="22"/>
          <w:szCs w:val="22"/>
          <w:lang w:val="en-ZA"/>
        </w:rPr>
        <w:t xml:space="preserve">effective date </w:t>
      </w:r>
      <w:r w:rsidR="19284119" w:rsidRPr="00403DF5">
        <w:rPr>
          <w:rFonts w:ascii="Arial" w:hAnsi="Arial" w:cs="Arial"/>
          <w:iCs/>
          <w:sz w:val="22"/>
          <w:szCs w:val="22"/>
          <w:lang w:val="en-ZA"/>
        </w:rPr>
        <w:t>will prejudice local vehicle manufacturers who may wish to commence the process earlier than 1 March 2026</w:t>
      </w:r>
      <w:r w:rsidR="475D873C" w:rsidRPr="00403DF5">
        <w:rPr>
          <w:rFonts w:ascii="Arial" w:hAnsi="Arial" w:cs="Arial"/>
          <w:iCs/>
          <w:sz w:val="22"/>
          <w:szCs w:val="22"/>
          <w:lang w:val="en-ZA"/>
        </w:rPr>
        <w:t xml:space="preserve"> and those that already have NEV products in the SA market</w:t>
      </w:r>
      <w:r w:rsidR="19284119" w:rsidRPr="00403DF5">
        <w:rPr>
          <w:rFonts w:ascii="Arial" w:hAnsi="Arial" w:cs="Arial"/>
          <w:iCs/>
          <w:sz w:val="22"/>
          <w:szCs w:val="22"/>
          <w:lang w:val="en-ZA"/>
        </w:rPr>
        <w:t>.</w:t>
      </w:r>
      <w:r w:rsidR="41C1B539" w:rsidRPr="00403DF5">
        <w:rPr>
          <w:rFonts w:ascii="Arial" w:hAnsi="Arial" w:cs="Arial"/>
          <w:iCs/>
          <w:sz w:val="22"/>
          <w:szCs w:val="22"/>
          <w:lang w:val="en-ZA"/>
        </w:rPr>
        <w:t xml:space="preserve"> Some vehicle manufacturers are in an investment cycle targeting </w:t>
      </w:r>
      <w:r w:rsidR="44E9861D" w:rsidRPr="00403DF5">
        <w:rPr>
          <w:rFonts w:ascii="Arial" w:hAnsi="Arial" w:cs="Arial"/>
          <w:iCs/>
          <w:sz w:val="22"/>
          <w:szCs w:val="22"/>
          <w:lang w:val="en-ZA"/>
        </w:rPr>
        <w:t>production in</w:t>
      </w:r>
      <w:r w:rsidR="41C1B539" w:rsidRPr="00403DF5">
        <w:rPr>
          <w:rFonts w:ascii="Arial" w:hAnsi="Arial" w:cs="Arial"/>
          <w:iCs/>
          <w:sz w:val="22"/>
          <w:szCs w:val="22"/>
          <w:lang w:val="en-ZA"/>
        </w:rPr>
        <w:t xml:space="preserve"> January 2026</w:t>
      </w:r>
      <w:r w:rsidR="560C4699" w:rsidRPr="003F111D">
        <w:rPr>
          <w:rFonts w:ascii="Arial" w:hAnsi="Arial" w:cs="Arial"/>
          <w:i/>
          <w:sz w:val="22"/>
          <w:szCs w:val="22"/>
          <w:lang w:val="en-ZA"/>
        </w:rPr>
        <w:t>.</w:t>
      </w:r>
      <w:r w:rsidR="41C1B539" w:rsidRPr="003F111D">
        <w:rPr>
          <w:rFonts w:ascii="Arial" w:hAnsi="Arial" w:cs="Arial"/>
          <w:i/>
          <w:sz w:val="22"/>
          <w:szCs w:val="22"/>
          <w:lang w:val="en-ZA"/>
        </w:rPr>
        <w:t xml:space="preserve"> </w:t>
      </w:r>
    </w:p>
    <w:p w14:paraId="6D5E0C9C" w14:textId="0EAD3479" w:rsidR="14B20D9F" w:rsidRPr="004C639D" w:rsidRDefault="14B20D9F" w:rsidP="14B20D9F">
      <w:pPr>
        <w:pStyle w:val="BodyText"/>
        <w:spacing w:line="271" w:lineRule="auto"/>
        <w:ind w:left="492" w:right="153"/>
        <w:jc w:val="both"/>
        <w:rPr>
          <w:lang w:val="en-ZA"/>
        </w:rPr>
      </w:pPr>
    </w:p>
    <w:p w14:paraId="3F03EB9A" w14:textId="0FE57928" w:rsidR="006C2AAF" w:rsidRPr="003F111D" w:rsidRDefault="265AA64F" w:rsidP="251BE3F0">
      <w:pPr>
        <w:pStyle w:val="BodyText"/>
        <w:spacing w:line="271" w:lineRule="auto"/>
        <w:ind w:left="831" w:right="152"/>
        <w:jc w:val="both"/>
        <w:rPr>
          <w:rFonts w:ascii="Arial" w:hAnsi="Arial" w:cs="Arial"/>
          <w:i/>
          <w:sz w:val="22"/>
          <w:szCs w:val="22"/>
          <w:lang w:val="en-ZA"/>
        </w:rPr>
      </w:pPr>
      <w:bookmarkStart w:id="92" w:name="_Hlk180348292"/>
      <w:r w:rsidRPr="003F111D">
        <w:rPr>
          <w:rFonts w:ascii="Arial" w:hAnsi="Arial" w:cs="Arial"/>
          <w:i/>
          <w:sz w:val="22"/>
          <w:szCs w:val="22"/>
          <w:lang w:val="en-ZA"/>
        </w:rPr>
        <w:t xml:space="preserve">Response: </w:t>
      </w:r>
      <w:r w:rsidRPr="00403DF5">
        <w:rPr>
          <w:rFonts w:ascii="Arial" w:hAnsi="Arial" w:cs="Arial"/>
          <w:iCs/>
          <w:sz w:val="22"/>
          <w:szCs w:val="22"/>
          <w:u w:val="single"/>
          <w:lang w:val="en-ZA"/>
        </w:rPr>
        <w:t>Not</w:t>
      </w:r>
      <w:r w:rsidR="005C8954" w:rsidRPr="00403DF5">
        <w:rPr>
          <w:rFonts w:ascii="Arial" w:hAnsi="Arial" w:cs="Arial"/>
          <w:iCs/>
          <w:sz w:val="22"/>
          <w:szCs w:val="22"/>
          <w:u w:val="single"/>
          <w:lang w:val="en-ZA"/>
        </w:rPr>
        <w:t xml:space="preserve"> accepted</w:t>
      </w:r>
      <w:r w:rsidRPr="00403DF5">
        <w:rPr>
          <w:rFonts w:ascii="Arial" w:hAnsi="Arial" w:cs="Arial"/>
          <w:iCs/>
          <w:sz w:val="22"/>
          <w:szCs w:val="22"/>
          <w:lang w:val="en-ZA"/>
        </w:rPr>
        <w:t xml:space="preserve">. </w:t>
      </w:r>
      <w:r w:rsidR="569D4C70" w:rsidRPr="00403DF5">
        <w:rPr>
          <w:rFonts w:ascii="Arial" w:hAnsi="Arial" w:cs="Arial"/>
          <w:iCs/>
          <w:sz w:val="22"/>
          <w:szCs w:val="22"/>
          <w:lang w:val="en-ZA"/>
        </w:rPr>
        <w:t xml:space="preserve">Government is not aware of any </w:t>
      </w:r>
      <w:r w:rsidR="28829681" w:rsidRPr="00403DF5">
        <w:rPr>
          <w:rFonts w:ascii="Arial" w:hAnsi="Arial" w:cs="Arial"/>
          <w:iCs/>
          <w:sz w:val="22"/>
          <w:szCs w:val="22"/>
          <w:lang w:val="en-ZA"/>
        </w:rPr>
        <w:t>local vehicle manufacturers that have started producing</w:t>
      </w:r>
      <w:r w:rsidR="5CD64085" w:rsidRPr="00403DF5">
        <w:rPr>
          <w:rFonts w:ascii="Arial" w:hAnsi="Arial" w:cs="Arial"/>
          <w:iCs/>
          <w:sz w:val="22"/>
          <w:szCs w:val="22"/>
          <w:lang w:val="en-ZA"/>
        </w:rPr>
        <w:t xml:space="preserve"> electric </w:t>
      </w:r>
      <w:r w:rsidR="6F2A5212" w:rsidRPr="00403DF5">
        <w:rPr>
          <w:rFonts w:ascii="Arial" w:hAnsi="Arial" w:cs="Arial"/>
          <w:iCs/>
          <w:sz w:val="22"/>
          <w:szCs w:val="22"/>
          <w:lang w:val="en-ZA"/>
        </w:rPr>
        <w:t xml:space="preserve">or </w:t>
      </w:r>
      <w:r w:rsidR="5CD64085" w:rsidRPr="00403DF5">
        <w:rPr>
          <w:rFonts w:ascii="Arial" w:hAnsi="Arial" w:cs="Arial"/>
          <w:iCs/>
          <w:sz w:val="22"/>
          <w:szCs w:val="22"/>
          <w:lang w:val="en-ZA"/>
        </w:rPr>
        <w:t>hydrogen powered vehicles locally. Based on the analysis conducted by the DTIC,</w:t>
      </w:r>
      <w:r w:rsidR="004E9BD4" w:rsidRPr="00403DF5">
        <w:rPr>
          <w:rFonts w:ascii="Arial" w:hAnsi="Arial" w:cs="Arial"/>
          <w:iCs/>
          <w:sz w:val="22"/>
          <w:szCs w:val="22"/>
          <w:lang w:val="en-ZA"/>
        </w:rPr>
        <w:t xml:space="preserve"> vehicle manufacturers</w:t>
      </w:r>
      <w:r w:rsidR="794A1E74" w:rsidRPr="00403DF5">
        <w:rPr>
          <w:rFonts w:ascii="Arial" w:hAnsi="Arial" w:cs="Arial"/>
          <w:iCs/>
          <w:sz w:val="22"/>
          <w:szCs w:val="22"/>
          <w:lang w:val="en-ZA"/>
        </w:rPr>
        <w:t xml:space="preserve"> have an investment cycle targeting production for 2026, which is in line with the effective date.</w:t>
      </w:r>
      <w:r w:rsidR="569D4C70" w:rsidRPr="003F111D">
        <w:rPr>
          <w:rFonts w:ascii="Arial" w:hAnsi="Arial" w:cs="Arial"/>
          <w:i/>
          <w:sz w:val="22"/>
          <w:szCs w:val="22"/>
          <w:lang w:val="en-ZA"/>
        </w:rPr>
        <w:t xml:space="preserve">  </w:t>
      </w:r>
    </w:p>
    <w:p w14:paraId="10A403E5" w14:textId="1789C5A9" w:rsidR="0089071C" w:rsidRPr="003F111D" w:rsidRDefault="0089071C" w:rsidP="251BE3F0">
      <w:pPr>
        <w:pStyle w:val="BodyText"/>
        <w:spacing w:line="271" w:lineRule="auto"/>
        <w:ind w:left="831" w:right="152"/>
        <w:jc w:val="both"/>
        <w:rPr>
          <w:rFonts w:ascii="Arial"/>
          <w:lang w:val="en-ZA"/>
        </w:rPr>
      </w:pPr>
    </w:p>
    <w:bookmarkEnd w:id="92"/>
    <w:p w14:paraId="14C2A665" w14:textId="1C37C19C" w:rsidR="006C2AAF" w:rsidRPr="003F111D" w:rsidRDefault="77715CE9" w:rsidP="003F111D">
      <w:pPr>
        <w:pStyle w:val="BodyText"/>
        <w:spacing w:line="271" w:lineRule="auto"/>
        <w:ind w:left="492" w:right="153"/>
        <w:jc w:val="both"/>
        <w:rPr>
          <w:rFonts w:ascii="Arial" w:hAnsi="Arial" w:cs="Arial"/>
          <w:i/>
          <w:sz w:val="22"/>
          <w:szCs w:val="22"/>
          <w:lang w:val="en-ZA"/>
        </w:rPr>
      </w:pPr>
      <w:r w:rsidRPr="003F111D">
        <w:rPr>
          <w:rFonts w:ascii="Arial" w:hAnsi="Arial" w:cs="Arial"/>
          <w:i/>
          <w:sz w:val="22"/>
          <w:szCs w:val="22"/>
          <w:lang w:val="en-ZA"/>
        </w:rPr>
        <w:t xml:space="preserve">Comment: </w:t>
      </w:r>
      <w:r w:rsidRPr="00403DF5">
        <w:rPr>
          <w:rFonts w:ascii="Arial" w:hAnsi="Arial" w:cs="Arial"/>
          <w:iCs/>
          <w:sz w:val="22"/>
          <w:szCs w:val="22"/>
          <w:lang w:val="en-ZA"/>
        </w:rPr>
        <w:t>The introduction of the GloBE pillar 2 minimum tax rules could have a profound impact on tax incentives, including incentives such as investment allowances, by lowering the effective tax rate of companies in scope. In the context of SA and the automotive sector, this could potentially result in SA subsidiaries of the OEMs having effective tax rates of less than 15%, thereby triggering the SA domestic minimum top-up tax and potentially undermining the incentive</w:t>
      </w:r>
      <w:r w:rsidRPr="003F111D">
        <w:rPr>
          <w:rFonts w:ascii="Arial" w:hAnsi="Arial" w:cs="Arial"/>
          <w:i/>
          <w:sz w:val="22"/>
          <w:szCs w:val="22"/>
          <w:lang w:val="en-ZA"/>
        </w:rPr>
        <w:t>.</w:t>
      </w:r>
    </w:p>
    <w:p w14:paraId="31336FA2" w14:textId="0DAD36EC" w:rsidR="006C2AAF" w:rsidRPr="003F111D" w:rsidRDefault="006C2AAF" w:rsidP="251BE3F0">
      <w:pPr>
        <w:pStyle w:val="BodyText"/>
        <w:spacing w:before="158" w:line="271" w:lineRule="auto"/>
        <w:ind w:left="492" w:right="153"/>
        <w:jc w:val="both"/>
        <w:rPr>
          <w:lang w:val="en-ZA"/>
        </w:rPr>
      </w:pPr>
    </w:p>
    <w:p w14:paraId="55FB2531" w14:textId="04F26975" w:rsidR="00A16881" w:rsidRPr="004C639D" w:rsidRDefault="77715CE9" w:rsidP="00403DF5">
      <w:pPr>
        <w:pStyle w:val="BodyText"/>
        <w:spacing w:line="271" w:lineRule="auto"/>
        <w:ind w:left="831" w:right="152"/>
        <w:jc w:val="both"/>
        <w:rPr>
          <w:lang w:val="en-ZA"/>
        </w:rPr>
      </w:pPr>
      <w:r w:rsidRPr="003F111D">
        <w:rPr>
          <w:rFonts w:ascii="Arial" w:hAnsi="Arial" w:cs="Arial"/>
          <w:i/>
          <w:sz w:val="22"/>
          <w:szCs w:val="22"/>
          <w:lang w:val="en-ZA"/>
        </w:rPr>
        <w:t>Response:</w:t>
      </w:r>
      <w:r w:rsidRPr="00403DF5">
        <w:rPr>
          <w:rFonts w:ascii="Arial" w:hAnsi="Arial" w:cs="Arial"/>
          <w:iCs/>
          <w:u w:val="single"/>
        </w:rPr>
        <w:t xml:space="preserve"> Noted</w:t>
      </w:r>
      <w:r w:rsidRPr="003F111D">
        <w:rPr>
          <w:rFonts w:ascii="Arial" w:hAnsi="Arial" w:cs="Arial"/>
          <w:i/>
          <w:sz w:val="22"/>
          <w:szCs w:val="22"/>
          <w:lang w:val="en-ZA"/>
        </w:rPr>
        <w:t>.</w:t>
      </w:r>
      <w:r w:rsidR="00D86C96" w:rsidRPr="00D86C96">
        <w:rPr>
          <w:sz w:val="22"/>
          <w:szCs w:val="22"/>
          <w:lang w:val="en-ZA"/>
        </w:rPr>
        <w:t xml:space="preserve"> </w:t>
      </w:r>
      <w:r w:rsidR="00D86C96" w:rsidRPr="00D86C96">
        <w:rPr>
          <w:rFonts w:ascii="Arial" w:hAnsi="Arial" w:cs="Arial"/>
          <w:iCs/>
          <w:sz w:val="22"/>
          <w:szCs w:val="22"/>
          <w:lang w:val="en-ZA"/>
        </w:rPr>
        <w:t>The Global Minimum Tax also includes a ‘substance-based income exclusion’ which reduces the impact of the rules on investments which have real economic substance and which brings jobs and tangible assets may  assist in this regard.</w:t>
      </w:r>
    </w:p>
    <w:bookmarkEnd w:id="90"/>
    <w:p w14:paraId="2040C006" w14:textId="77777777" w:rsidR="002A7C61" w:rsidRPr="004C639D" w:rsidRDefault="002A7C61" w:rsidP="002A7C61">
      <w:pPr>
        <w:pStyle w:val="BodyText"/>
        <w:spacing w:before="1" w:line="271" w:lineRule="auto"/>
        <w:ind w:left="492" w:right="152"/>
        <w:jc w:val="both"/>
        <w:rPr>
          <w:lang w:val="en-ZA"/>
        </w:rPr>
      </w:pPr>
    </w:p>
    <w:p w14:paraId="25BB3B0B" w14:textId="51034A27" w:rsidR="002A7C61" w:rsidRPr="003F111D" w:rsidRDefault="04118B6E" w:rsidP="003F111D">
      <w:pPr>
        <w:pStyle w:val="Heading3"/>
        <w:numPr>
          <w:ilvl w:val="1"/>
          <w:numId w:val="37"/>
        </w:numPr>
        <w:tabs>
          <w:tab w:val="left" w:pos="961"/>
          <w:tab w:val="left" w:pos="1134"/>
        </w:tabs>
        <w:spacing w:before="0"/>
        <w:rPr>
          <w:sz w:val="22"/>
          <w:szCs w:val="22"/>
          <w:lang w:val="en-ZA"/>
        </w:rPr>
      </w:pPr>
      <w:bookmarkStart w:id="93" w:name="_Toc189212122"/>
      <w:r w:rsidRPr="003F111D">
        <w:rPr>
          <w:sz w:val="22"/>
          <w:szCs w:val="22"/>
          <w:lang w:val="en-ZA"/>
        </w:rPr>
        <w:t>D</w:t>
      </w:r>
      <w:r w:rsidR="24D0B2FE" w:rsidRPr="003F111D">
        <w:rPr>
          <w:sz w:val="22"/>
          <w:szCs w:val="22"/>
          <w:lang w:val="en-ZA"/>
        </w:rPr>
        <w:t>eduction in respect of certain machinery, plant, implements, utensils and articles used in</w:t>
      </w:r>
      <w:r w:rsidR="4DE14DE0" w:rsidRPr="003F111D">
        <w:rPr>
          <w:sz w:val="22"/>
          <w:szCs w:val="22"/>
          <w:lang w:val="en-ZA"/>
        </w:rPr>
        <w:t xml:space="preserve"> farming or</w:t>
      </w:r>
      <w:r w:rsidR="24D0B2FE" w:rsidRPr="003F111D">
        <w:rPr>
          <w:sz w:val="22"/>
          <w:szCs w:val="22"/>
          <w:lang w:val="en-ZA"/>
        </w:rPr>
        <w:t xml:space="preserve"> production of renewable energy</w:t>
      </w:r>
      <w:bookmarkEnd w:id="93"/>
    </w:p>
    <w:p w14:paraId="612EE732" w14:textId="2E0123F6" w:rsidR="002A7C61" w:rsidRPr="003F111D" w:rsidRDefault="2F535F85" w:rsidP="00B328AC">
      <w:pPr>
        <w:pStyle w:val="BodyText"/>
        <w:spacing w:before="158"/>
        <w:ind w:left="555"/>
        <w:jc w:val="both"/>
        <w:rPr>
          <w:rFonts w:ascii="Arial" w:hAnsi="Arial" w:cs="Arial"/>
          <w:sz w:val="22"/>
          <w:szCs w:val="22"/>
          <w:lang w:val="en-ZA"/>
        </w:rPr>
      </w:pPr>
      <w:r w:rsidRPr="003F111D">
        <w:rPr>
          <w:rFonts w:ascii="Arial" w:hAnsi="Arial" w:cs="Arial"/>
          <w:sz w:val="22"/>
          <w:szCs w:val="22"/>
          <w:lang w:val="en-ZA"/>
        </w:rPr>
        <w:t xml:space="preserve">(Main reference: </w:t>
      </w:r>
      <w:r w:rsidR="43AE57BE" w:rsidRPr="003F111D">
        <w:rPr>
          <w:rFonts w:ascii="Arial" w:hAnsi="Arial" w:cs="Arial"/>
          <w:sz w:val="22"/>
          <w:szCs w:val="22"/>
          <w:lang w:val="en-ZA"/>
        </w:rPr>
        <w:t>S</w:t>
      </w:r>
      <w:r w:rsidR="24D0B2FE" w:rsidRPr="003F111D">
        <w:rPr>
          <w:rFonts w:ascii="Arial" w:hAnsi="Arial" w:cs="Arial"/>
          <w:sz w:val="22"/>
          <w:szCs w:val="22"/>
          <w:lang w:val="en-ZA"/>
        </w:rPr>
        <w:t>ection 12B</w:t>
      </w:r>
      <w:r w:rsidR="58319BE6" w:rsidRPr="003F111D">
        <w:rPr>
          <w:rFonts w:ascii="Arial" w:hAnsi="Arial" w:cs="Arial"/>
          <w:sz w:val="22"/>
          <w:szCs w:val="22"/>
          <w:lang w:val="en-ZA"/>
        </w:rPr>
        <w:t xml:space="preserve"> </w:t>
      </w:r>
      <w:r w:rsidRPr="003F111D">
        <w:rPr>
          <w:rFonts w:ascii="Arial" w:hAnsi="Arial" w:cs="Arial"/>
          <w:sz w:val="22"/>
          <w:szCs w:val="22"/>
          <w:lang w:val="en-ZA"/>
        </w:rPr>
        <w:t>of the Income Tax Act)</w:t>
      </w:r>
    </w:p>
    <w:p w14:paraId="3AAAD525" w14:textId="77777777" w:rsidR="00FB7E1E" w:rsidRPr="004C639D" w:rsidRDefault="00FB7E1E" w:rsidP="00FB7E1E">
      <w:pPr>
        <w:pStyle w:val="BodyText"/>
        <w:spacing w:before="1" w:line="271" w:lineRule="auto"/>
        <w:ind w:left="492" w:right="152"/>
        <w:jc w:val="both"/>
        <w:rPr>
          <w:lang w:val="en-ZA"/>
        </w:rPr>
      </w:pPr>
    </w:p>
    <w:p w14:paraId="71E7948E" w14:textId="05732F26" w:rsidR="00375F5E" w:rsidRPr="003F111D" w:rsidRDefault="44AC1842" w:rsidP="00403DF5">
      <w:pPr>
        <w:pStyle w:val="BodyText"/>
        <w:spacing w:line="271" w:lineRule="auto"/>
        <w:ind w:left="831" w:right="152"/>
        <w:jc w:val="both"/>
        <w:rPr>
          <w:rFonts w:ascii="Arial" w:hAnsi="Arial" w:cs="Arial"/>
          <w:iCs/>
          <w:sz w:val="22"/>
          <w:szCs w:val="22"/>
          <w:lang w:val="en-ZA"/>
        </w:rPr>
      </w:pPr>
      <w:r w:rsidRPr="003F111D">
        <w:rPr>
          <w:rFonts w:ascii="Arial" w:hAnsi="Arial" w:cs="Arial"/>
          <w:iCs/>
          <w:sz w:val="22"/>
          <w:szCs w:val="22"/>
          <w:lang w:val="en-ZA"/>
        </w:rPr>
        <w:t>In 2004, Government introduced an accelerated depreciation allowance for investments in biodiesel and biofuels in section 12B of the Act. Assets used in the production of electricity using</w:t>
      </w:r>
      <w:r w:rsidR="26B3B0DB" w:rsidRPr="003F111D">
        <w:rPr>
          <w:rFonts w:ascii="Arial" w:hAnsi="Arial" w:cs="Arial"/>
          <w:iCs/>
          <w:sz w:val="22"/>
          <w:szCs w:val="22"/>
          <w:lang w:val="en-ZA"/>
        </w:rPr>
        <w:t xml:space="preserve"> wind, sunlight (later referred to as solar power), gravitational water force to produce electricity of not more than 30 megawatts (later referred to as hydropower) and biomass comprising organic waste, landfill gas or plants</w:t>
      </w:r>
      <w:r w:rsidRPr="003F111D">
        <w:rPr>
          <w:rFonts w:ascii="Arial" w:hAnsi="Arial" w:cs="Arial"/>
          <w:iCs/>
          <w:sz w:val="22"/>
          <w:szCs w:val="22"/>
          <w:lang w:val="en-ZA"/>
        </w:rPr>
        <w:t xml:space="preserve"> were eligible to benefit from a tax depreciation write-off of 50:30:20 per cent over three years. Additional amendments were made in 2012 to include the necessary and integrated supporting structures, with respect to assets that are used in renewable energy generation, to benefit from the same tax write-off of three years.</w:t>
      </w:r>
    </w:p>
    <w:p w14:paraId="263EA846" w14:textId="2269AF82" w:rsidR="00375F5E" w:rsidRPr="003F111D" w:rsidRDefault="44AC1842" w:rsidP="251BE3F0">
      <w:pPr>
        <w:pStyle w:val="BodyText"/>
        <w:spacing w:before="1" w:line="271" w:lineRule="auto"/>
        <w:ind w:left="492" w:right="152"/>
        <w:jc w:val="both"/>
        <w:rPr>
          <w:rFonts w:ascii="Arial" w:hAnsi="Arial" w:cs="Arial"/>
          <w:iCs/>
          <w:sz w:val="22"/>
          <w:szCs w:val="22"/>
          <w:lang w:val="en-ZA"/>
        </w:rPr>
      </w:pPr>
      <w:r w:rsidRPr="003F111D">
        <w:rPr>
          <w:rFonts w:ascii="Arial" w:hAnsi="Arial" w:cs="Arial"/>
          <w:iCs/>
          <w:sz w:val="22"/>
          <w:szCs w:val="22"/>
          <w:lang w:val="en-ZA"/>
        </w:rPr>
        <w:t xml:space="preserve"> </w:t>
      </w:r>
    </w:p>
    <w:p w14:paraId="0EC32A56" w14:textId="78C3B39D" w:rsidR="00375F5E" w:rsidRPr="003F111D" w:rsidRDefault="44AC1842" w:rsidP="00403DF5">
      <w:pPr>
        <w:pStyle w:val="BodyText"/>
        <w:spacing w:line="271" w:lineRule="auto"/>
        <w:ind w:left="831" w:right="152"/>
        <w:jc w:val="both"/>
        <w:rPr>
          <w:rFonts w:ascii="Arial" w:hAnsi="Arial" w:cs="Arial"/>
          <w:iCs/>
          <w:sz w:val="22"/>
          <w:szCs w:val="22"/>
          <w:lang w:val="en-ZA"/>
        </w:rPr>
      </w:pPr>
      <w:r w:rsidRPr="003F111D">
        <w:rPr>
          <w:rFonts w:ascii="Arial" w:hAnsi="Arial" w:cs="Arial"/>
          <w:iCs/>
          <w:sz w:val="22"/>
          <w:szCs w:val="22"/>
          <w:lang w:val="en-ZA"/>
        </w:rPr>
        <w:t xml:space="preserve">In 2015, Government sought to further encourage the independent generation of electricity through renewable energy sources to alleviate the then-projected electricity shortages in the country. In particular, changes were made to increase the uptake of small-scale embedded solar photovoltaic (PV) energy production to ease the pressure on the national electricity grid. In this regard, assets used for embedded solar PV renewable energy with a generation capacity not exceeding 1 000 kW or 1 MW were made eligible for an accelerated depreciation of 100 per cent in one year. </w:t>
      </w:r>
    </w:p>
    <w:p w14:paraId="2A540705" w14:textId="5269AA1D" w:rsidR="00375F5E" w:rsidRPr="003F111D" w:rsidRDefault="00375F5E" w:rsidP="251BE3F0">
      <w:pPr>
        <w:pStyle w:val="BodyText"/>
        <w:spacing w:before="1" w:line="271" w:lineRule="auto"/>
        <w:ind w:left="492" w:right="152"/>
        <w:jc w:val="both"/>
        <w:rPr>
          <w:rFonts w:ascii="Arial" w:hAnsi="Arial" w:cs="Arial"/>
          <w:iCs/>
          <w:sz w:val="22"/>
          <w:szCs w:val="22"/>
          <w:lang w:val="en-ZA"/>
        </w:rPr>
      </w:pPr>
    </w:p>
    <w:p w14:paraId="6F96AFF7" w14:textId="0B7917FF" w:rsidR="00375F5E" w:rsidRPr="003F111D" w:rsidRDefault="5137F850" w:rsidP="00403DF5">
      <w:pPr>
        <w:pStyle w:val="BodyText"/>
        <w:spacing w:line="271" w:lineRule="auto"/>
        <w:ind w:left="831" w:right="152"/>
        <w:jc w:val="both"/>
        <w:rPr>
          <w:rFonts w:ascii="Arial" w:hAnsi="Arial" w:cs="Arial"/>
          <w:iCs/>
          <w:sz w:val="22"/>
          <w:szCs w:val="22"/>
          <w:lang w:val="en-ZA"/>
        </w:rPr>
      </w:pPr>
      <w:r w:rsidRPr="003F111D">
        <w:rPr>
          <w:rFonts w:ascii="Arial" w:hAnsi="Arial" w:cs="Arial"/>
          <w:iCs/>
          <w:sz w:val="22"/>
          <w:szCs w:val="22"/>
          <w:lang w:val="en-ZA"/>
        </w:rPr>
        <w:t xml:space="preserve">Given the country’s </w:t>
      </w:r>
      <w:r w:rsidR="6D2E85E7" w:rsidRPr="003F111D">
        <w:rPr>
          <w:rFonts w:ascii="Arial" w:hAnsi="Arial" w:cs="Arial"/>
          <w:iCs/>
          <w:sz w:val="22"/>
          <w:szCs w:val="22"/>
          <w:lang w:val="en-ZA"/>
        </w:rPr>
        <w:t>recent past</w:t>
      </w:r>
      <w:r w:rsidR="1C748D36" w:rsidRPr="003F111D">
        <w:rPr>
          <w:rFonts w:ascii="Arial" w:hAnsi="Arial" w:cs="Arial"/>
          <w:iCs/>
          <w:sz w:val="22"/>
          <w:szCs w:val="22"/>
          <w:lang w:val="en-ZA"/>
        </w:rPr>
        <w:t xml:space="preserve"> </w:t>
      </w:r>
      <w:r w:rsidRPr="003F111D">
        <w:rPr>
          <w:rFonts w:ascii="Arial" w:hAnsi="Arial" w:cs="Arial"/>
          <w:iCs/>
          <w:sz w:val="22"/>
          <w:szCs w:val="22"/>
          <w:lang w:val="en-ZA"/>
        </w:rPr>
        <w:t>struggle to produce reliable electricity through the national grid,</w:t>
      </w:r>
      <w:r w:rsidR="7AD81915" w:rsidRPr="003F111D">
        <w:rPr>
          <w:rFonts w:ascii="Arial" w:hAnsi="Arial" w:cs="Arial"/>
          <w:iCs/>
          <w:sz w:val="22"/>
          <w:szCs w:val="22"/>
          <w:lang w:val="en-ZA"/>
        </w:rPr>
        <w:t xml:space="preserve"> in 2023 the private electricity generation threshold was removed to encourage greater investment in new generation capacity. A </w:t>
      </w:r>
      <w:r w:rsidR="040B41A2" w:rsidRPr="003F111D">
        <w:rPr>
          <w:rFonts w:ascii="Arial" w:hAnsi="Arial" w:cs="Arial"/>
          <w:iCs/>
          <w:sz w:val="22"/>
          <w:szCs w:val="22"/>
          <w:lang w:val="en-ZA"/>
        </w:rPr>
        <w:t>temporary enhancement</w:t>
      </w:r>
      <w:r w:rsidRPr="003F111D">
        <w:rPr>
          <w:rFonts w:ascii="Arial" w:hAnsi="Arial" w:cs="Arial"/>
          <w:iCs/>
          <w:sz w:val="22"/>
          <w:szCs w:val="22"/>
          <w:lang w:val="en-ZA"/>
        </w:rPr>
        <w:t xml:space="preserve"> </w:t>
      </w:r>
      <w:r w:rsidR="44D087C5" w:rsidRPr="003F111D">
        <w:rPr>
          <w:rFonts w:ascii="Arial" w:hAnsi="Arial" w:cs="Arial"/>
          <w:iCs/>
          <w:sz w:val="22"/>
          <w:szCs w:val="22"/>
          <w:lang w:val="en-ZA"/>
        </w:rPr>
        <w:t xml:space="preserve">to </w:t>
      </w:r>
      <w:r w:rsidRPr="003F111D">
        <w:rPr>
          <w:rFonts w:ascii="Arial" w:hAnsi="Arial" w:cs="Arial"/>
          <w:iCs/>
          <w:sz w:val="22"/>
          <w:szCs w:val="22"/>
          <w:lang w:val="en-ZA"/>
        </w:rPr>
        <w:t>the current renewable energy tax incentive available in section 12B</w:t>
      </w:r>
      <w:r w:rsidR="7DA4F402" w:rsidRPr="003F111D">
        <w:rPr>
          <w:rFonts w:ascii="Arial" w:hAnsi="Arial" w:cs="Arial"/>
          <w:iCs/>
          <w:sz w:val="22"/>
          <w:szCs w:val="22"/>
          <w:lang w:val="en-ZA"/>
        </w:rPr>
        <w:t xml:space="preserve"> was also introduced in terms of section 12BA</w:t>
      </w:r>
      <w:r w:rsidRPr="003F111D">
        <w:rPr>
          <w:rFonts w:ascii="Arial" w:hAnsi="Arial" w:cs="Arial"/>
          <w:iCs/>
          <w:sz w:val="22"/>
          <w:szCs w:val="22"/>
          <w:lang w:val="en-ZA"/>
        </w:rPr>
        <w:t xml:space="preserve"> of the Act. The enhanced renewable energy tax incentive </w:t>
      </w:r>
      <w:r w:rsidR="3284C740" w:rsidRPr="003F111D">
        <w:rPr>
          <w:rFonts w:ascii="Arial" w:hAnsi="Arial" w:cs="Arial"/>
          <w:iCs/>
          <w:sz w:val="22"/>
          <w:szCs w:val="22"/>
          <w:lang w:val="en-ZA"/>
        </w:rPr>
        <w:t xml:space="preserve">is set to </w:t>
      </w:r>
      <w:r w:rsidR="59AF3655" w:rsidRPr="003F111D">
        <w:rPr>
          <w:rFonts w:ascii="Arial" w:hAnsi="Arial" w:cs="Arial"/>
          <w:iCs/>
          <w:sz w:val="22"/>
          <w:szCs w:val="22"/>
          <w:lang w:val="en-ZA"/>
        </w:rPr>
        <w:t>expire on</w:t>
      </w:r>
      <w:r w:rsidR="3284C740" w:rsidRPr="003F111D">
        <w:rPr>
          <w:rFonts w:ascii="Arial" w:hAnsi="Arial" w:cs="Arial"/>
          <w:iCs/>
          <w:sz w:val="22"/>
          <w:szCs w:val="22"/>
          <w:lang w:val="en-ZA"/>
        </w:rPr>
        <w:t xml:space="preserve"> </w:t>
      </w:r>
      <w:r w:rsidR="6A40E531" w:rsidRPr="003F111D">
        <w:rPr>
          <w:rFonts w:ascii="Arial" w:hAnsi="Arial" w:cs="Arial"/>
          <w:iCs/>
          <w:sz w:val="22"/>
          <w:szCs w:val="22"/>
          <w:lang w:val="en-ZA"/>
        </w:rPr>
        <w:t>1</w:t>
      </w:r>
      <w:r w:rsidR="730862D3" w:rsidRPr="003F111D">
        <w:rPr>
          <w:rFonts w:ascii="Arial" w:hAnsi="Arial" w:cs="Arial"/>
          <w:iCs/>
          <w:sz w:val="22"/>
          <w:szCs w:val="22"/>
          <w:lang w:val="en-ZA"/>
        </w:rPr>
        <w:t xml:space="preserve"> March</w:t>
      </w:r>
      <w:r w:rsidRPr="003F111D">
        <w:rPr>
          <w:rFonts w:ascii="Arial" w:hAnsi="Arial" w:cs="Arial"/>
          <w:iCs/>
          <w:sz w:val="22"/>
          <w:szCs w:val="22"/>
          <w:lang w:val="en-ZA"/>
        </w:rPr>
        <w:t xml:space="preserve"> 2025.</w:t>
      </w:r>
      <w:r w:rsidR="69638448" w:rsidRPr="003F111D">
        <w:rPr>
          <w:rFonts w:ascii="Arial" w:hAnsi="Arial" w:cs="Arial"/>
          <w:iCs/>
          <w:sz w:val="22"/>
          <w:szCs w:val="22"/>
          <w:lang w:val="en-ZA"/>
        </w:rPr>
        <w:t xml:space="preserve"> </w:t>
      </w:r>
      <w:r w:rsidR="2852AC50" w:rsidRPr="003F111D">
        <w:rPr>
          <w:rFonts w:ascii="Arial" w:hAnsi="Arial" w:cs="Arial"/>
          <w:iCs/>
          <w:sz w:val="22"/>
          <w:szCs w:val="22"/>
          <w:lang w:val="en-ZA"/>
        </w:rPr>
        <w:t>g</w:t>
      </w:r>
      <w:r w:rsidR="69638448" w:rsidRPr="003F111D">
        <w:rPr>
          <w:rFonts w:ascii="Arial" w:hAnsi="Arial" w:cs="Arial"/>
          <w:iCs/>
          <w:sz w:val="22"/>
          <w:szCs w:val="22"/>
          <w:lang w:val="en-ZA"/>
        </w:rPr>
        <w:t xml:space="preserve">overnment announced in the 2024 Budget Review </w:t>
      </w:r>
      <w:r w:rsidR="653A31DF" w:rsidRPr="003F111D">
        <w:rPr>
          <w:rFonts w:ascii="Arial" w:hAnsi="Arial" w:cs="Arial"/>
          <w:iCs/>
          <w:sz w:val="22"/>
          <w:szCs w:val="22"/>
          <w:lang w:val="en-ZA"/>
        </w:rPr>
        <w:t xml:space="preserve">that it will reconsider the generation threshold and leasing restrictions of section 12B. </w:t>
      </w:r>
    </w:p>
    <w:p w14:paraId="48FB52DF" w14:textId="41E141F1" w:rsidR="251BE3F0" w:rsidRPr="003F111D" w:rsidRDefault="251BE3F0" w:rsidP="251BE3F0">
      <w:pPr>
        <w:pStyle w:val="BodyText"/>
        <w:spacing w:before="1" w:line="271" w:lineRule="auto"/>
        <w:ind w:left="492" w:right="152"/>
        <w:jc w:val="both"/>
        <w:rPr>
          <w:lang w:val="en-ZA"/>
        </w:rPr>
      </w:pPr>
    </w:p>
    <w:p w14:paraId="731A3D18" w14:textId="742E624F" w:rsidR="00FB7E1E" w:rsidRPr="003F111D" w:rsidRDefault="5137F850" w:rsidP="000847CB">
      <w:pPr>
        <w:pStyle w:val="BodyText"/>
        <w:spacing w:line="271" w:lineRule="auto"/>
        <w:ind w:left="492" w:right="153"/>
        <w:jc w:val="both"/>
        <w:rPr>
          <w:rFonts w:ascii="Arial" w:hAnsi="Arial" w:cs="Arial"/>
          <w:i/>
          <w:sz w:val="22"/>
          <w:szCs w:val="22"/>
          <w:lang w:val="en-ZA"/>
        </w:rPr>
      </w:pPr>
      <w:r w:rsidRPr="003F111D">
        <w:rPr>
          <w:rFonts w:ascii="Arial" w:hAnsi="Arial" w:cs="Arial"/>
          <w:i/>
          <w:sz w:val="22"/>
          <w:szCs w:val="22"/>
          <w:lang w:val="en-ZA"/>
        </w:rPr>
        <w:t>Comment:</w:t>
      </w:r>
      <w:r w:rsidRPr="00403DF5">
        <w:rPr>
          <w:rFonts w:ascii="Arial" w:hAnsi="Arial" w:cs="Arial"/>
          <w:iCs/>
          <w:sz w:val="22"/>
          <w:szCs w:val="22"/>
          <w:lang w:val="en-ZA"/>
        </w:rPr>
        <w:t xml:space="preserve"> </w:t>
      </w:r>
      <w:r w:rsidR="4856D656" w:rsidRPr="00403DF5">
        <w:rPr>
          <w:rFonts w:ascii="Arial" w:hAnsi="Arial" w:cs="Arial"/>
          <w:iCs/>
          <w:sz w:val="22"/>
          <w:szCs w:val="22"/>
          <w:lang w:val="en-ZA"/>
        </w:rPr>
        <w:t>Section 12B disallows the allowance in circumstance where the asset has been let by the taxpayer to a lessee that does not derive income under such lease in the carrying on of a trade. This constraint was relaxed</w:t>
      </w:r>
      <w:r w:rsidR="55C2B015" w:rsidRPr="00403DF5">
        <w:rPr>
          <w:rFonts w:ascii="Arial" w:hAnsi="Arial" w:cs="Arial"/>
          <w:iCs/>
          <w:sz w:val="22"/>
          <w:szCs w:val="22"/>
          <w:lang w:val="en-ZA"/>
        </w:rPr>
        <w:t xml:space="preserve"> under the enhance</w:t>
      </w:r>
      <w:r w:rsidR="09433E6A" w:rsidRPr="00403DF5">
        <w:rPr>
          <w:rFonts w:ascii="Arial" w:hAnsi="Arial" w:cs="Arial"/>
          <w:iCs/>
          <w:sz w:val="22"/>
          <w:szCs w:val="22"/>
          <w:lang w:val="en-ZA"/>
        </w:rPr>
        <w:t>d</w:t>
      </w:r>
      <w:r w:rsidR="55C2B015" w:rsidRPr="00403DF5">
        <w:rPr>
          <w:rFonts w:ascii="Arial" w:hAnsi="Arial" w:cs="Arial"/>
          <w:iCs/>
          <w:sz w:val="22"/>
          <w:szCs w:val="22"/>
          <w:lang w:val="en-ZA"/>
        </w:rPr>
        <w:t xml:space="preserve"> renewable energy tax incentive in section 12BA.</w:t>
      </w:r>
      <w:r w:rsidR="53CFA4B8" w:rsidRPr="00403DF5">
        <w:rPr>
          <w:rFonts w:ascii="Arial" w:hAnsi="Arial" w:cs="Arial"/>
          <w:iCs/>
          <w:sz w:val="22"/>
          <w:szCs w:val="22"/>
          <w:lang w:val="en-ZA"/>
        </w:rPr>
        <w:t xml:space="preserve"> The concern is that assets that would otherwise qualify for an allowance under section 12BA, would be excluded from the application of section 12B on the basis that the asset is let by the owner of the assets in a finance lease arrangement to a lessee that is not carrying on a trade.</w:t>
      </w:r>
      <w:r w:rsidR="55C2B015" w:rsidRPr="00403DF5">
        <w:rPr>
          <w:rFonts w:ascii="Arial" w:hAnsi="Arial" w:cs="Arial"/>
          <w:iCs/>
          <w:sz w:val="22"/>
          <w:szCs w:val="22"/>
          <w:lang w:val="en-ZA"/>
        </w:rPr>
        <w:t xml:space="preserve"> </w:t>
      </w:r>
      <w:r w:rsidR="5CE1AC88" w:rsidRPr="00403DF5">
        <w:rPr>
          <w:rFonts w:ascii="Arial" w:hAnsi="Arial" w:cs="Arial"/>
          <w:iCs/>
          <w:sz w:val="22"/>
          <w:szCs w:val="22"/>
          <w:lang w:val="en-ZA"/>
        </w:rPr>
        <w:t xml:space="preserve">In addition, it was announced that </w:t>
      </w:r>
      <w:r w:rsidR="799711F8" w:rsidRPr="00403DF5">
        <w:rPr>
          <w:rFonts w:ascii="Arial" w:hAnsi="Arial" w:cs="Arial"/>
          <w:iCs/>
          <w:sz w:val="22"/>
          <w:szCs w:val="22"/>
          <w:lang w:val="en-ZA"/>
        </w:rPr>
        <w:t>g</w:t>
      </w:r>
      <w:r w:rsidR="5CE1AC88" w:rsidRPr="00403DF5">
        <w:rPr>
          <w:rFonts w:ascii="Arial" w:hAnsi="Arial" w:cs="Arial"/>
          <w:iCs/>
          <w:sz w:val="22"/>
          <w:szCs w:val="22"/>
          <w:lang w:val="en-ZA"/>
        </w:rPr>
        <w:t>overnment would c</w:t>
      </w:r>
      <w:r w:rsidR="64B77708" w:rsidRPr="00403DF5">
        <w:rPr>
          <w:rFonts w:ascii="Arial" w:hAnsi="Arial" w:cs="Arial"/>
          <w:iCs/>
          <w:sz w:val="22"/>
          <w:szCs w:val="22"/>
          <w:lang w:val="en-ZA"/>
        </w:rPr>
        <w:t>onsider increasing the generation threshold in section 12B.</w:t>
      </w:r>
      <w:r w:rsidR="64B77708" w:rsidRPr="003F111D">
        <w:rPr>
          <w:rFonts w:ascii="Arial" w:hAnsi="Arial" w:cs="Arial"/>
          <w:i/>
          <w:sz w:val="22"/>
          <w:szCs w:val="22"/>
          <w:lang w:val="en-ZA"/>
        </w:rPr>
        <w:t xml:space="preserve"> </w:t>
      </w:r>
    </w:p>
    <w:p w14:paraId="7CB42B5D" w14:textId="5D5ED194" w:rsidR="251BE3F0" w:rsidRPr="003F111D" w:rsidRDefault="251BE3F0" w:rsidP="251BE3F0">
      <w:pPr>
        <w:pStyle w:val="BodyText"/>
        <w:spacing w:line="271" w:lineRule="auto"/>
        <w:ind w:left="831" w:right="152"/>
        <w:jc w:val="both"/>
        <w:rPr>
          <w:rFonts w:ascii="Arial"/>
          <w:i/>
          <w:iCs/>
          <w:lang w:val="en-ZA"/>
        </w:rPr>
      </w:pPr>
    </w:p>
    <w:p w14:paraId="4750C77F" w14:textId="7C6585D7" w:rsidR="00125725" w:rsidRDefault="5137F850" w:rsidP="251BE3F0">
      <w:pPr>
        <w:pStyle w:val="BodyText"/>
        <w:spacing w:line="271" w:lineRule="auto"/>
        <w:ind w:left="831" w:right="152"/>
        <w:jc w:val="both"/>
        <w:rPr>
          <w:rFonts w:ascii="Arial" w:hAnsi="Arial" w:cs="Arial"/>
          <w:iCs/>
          <w:sz w:val="22"/>
          <w:szCs w:val="22"/>
          <w:lang w:val="en-ZA"/>
        </w:rPr>
      </w:pPr>
      <w:bookmarkStart w:id="94" w:name="_Hlk180348188"/>
      <w:r w:rsidRPr="003F111D">
        <w:rPr>
          <w:rFonts w:ascii="Arial" w:hAnsi="Arial" w:cs="Arial"/>
          <w:i/>
          <w:sz w:val="22"/>
          <w:szCs w:val="22"/>
          <w:lang w:val="en-ZA"/>
        </w:rPr>
        <w:t>Response:</w:t>
      </w:r>
      <w:r w:rsidR="00A16881">
        <w:rPr>
          <w:rFonts w:ascii="Arial" w:hAnsi="Arial" w:cs="Arial"/>
          <w:i/>
          <w:sz w:val="22"/>
          <w:szCs w:val="22"/>
          <w:lang w:val="en-ZA"/>
        </w:rPr>
        <w:t xml:space="preserve"> </w:t>
      </w:r>
      <w:r w:rsidRPr="00403DF5">
        <w:rPr>
          <w:rFonts w:ascii="Arial" w:hAnsi="Arial" w:cs="Arial"/>
          <w:iCs/>
          <w:sz w:val="22"/>
          <w:szCs w:val="22"/>
          <w:u w:val="single"/>
          <w:lang w:val="en-ZA"/>
        </w:rPr>
        <w:t>Not</w:t>
      </w:r>
      <w:r w:rsidR="12037688" w:rsidRPr="00403DF5">
        <w:rPr>
          <w:rFonts w:ascii="Arial" w:hAnsi="Arial" w:cs="Arial"/>
          <w:iCs/>
          <w:sz w:val="22"/>
          <w:szCs w:val="22"/>
          <w:u w:val="single"/>
          <w:lang w:val="en-ZA"/>
        </w:rPr>
        <w:t>ed</w:t>
      </w:r>
      <w:r w:rsidRPr="00403DF5">
        <w:rPr>
          <w:rFonts w:ascii="Arial" w:hAnsi="Arial" w:cs="Arial"/>
          <w:iCs/>
          <w:sz w:val="22"/>
          <w:szCs w:val="22"/>
          <w:lang w:val="en-ZA"/>
        </w:rPr>
        <w:t>.</w:t>
      </w:r>
      <w:r w:rsidR="00A16881">
        <w:rPr>
          <w:rFonts w:ascii="Arial" w:hAnsi="Arial" w:cs="Arial"/>
          <w:iCs/>
          <w:sz w:val="22"/>
          <w:szCs w:val="22"/>
          <w:lang w:val="en-ZA"/>
        </w:rPr>
        <w:t xml:space="preserve"> </w:t>
      </w:r>
      <w:r w:rsidR="63DE1D70" w:rsidRPr="00403DF5">
        <w:rPr>
          <w:rFonts w:ascii="Arial" w:hAnsi="Arial" w:cs="Arial"/>
          <w:iCs/>
          <w:sz w:val="22"/>
          <w:szCs w:val="22"/>
          <w:lang w:val="en-ZA"/>
        </w:rPr>
        <w:t xml:space="preserve">Government requires more time to reconsider these </w:t>
      </w:r>
      <w:r w:rsidR="31DC082C" w:rsidRPr="00403DF5">
        <w:rPr>
          <w:rFonts w:ascii="Arial" w:hAnsi="Arial" w:cs="Arial"/>
          <w:iCs/>
          <w:sz w:val="22"/>
          <w:szCs w:val="22"/>
          <w:lang w:val="en-ZA"/>
        </w:rPr>
        <w:t>proposals.</w:t>
      </w:r>
      <w:bookmarkEnd w:id="94"/>
    </w:p>
    <w:p w14:paraId="338CFCC1" w14:textId="77777777" w:rsidR="00A16881" w:rsidRPr="003F111D" w:rsidRDefault="00A16881" w:rsidP="251BE3F0">
      <w:pPr>
        <w:pStyle w:val="BodyText"/>
        <w:spacing w:line="271" w:lineRule="auto"/>
        <w:ind w:left="831" w:right="152"/>
        <w:jc w:val="both"/>
        <w:rPr>
          <w:rFonts w:ascii="Arial" w:hAnsi="Arial" w:cs="Arial"/>
          <w:i/>
          <w:sz w:val="22"/>
          <w:szCs w:val="22"/>
          <w:lang w:val="en-ZA"/>
        </w:rPr>
      </w:pPr>
    </w:p>
    <w:p w14:paraId="37ABB9BE" w14:textId="77777777" w:rsidR="00375F5E" w:rsidRPr="004C639D" w:rsidRDefault="454DE0F2" w:rsidP="00F027A2">
      <w:pPr>
        <w:pStyle w:val="1Section"/>
        <w:numPr>
          <w:ilvl w:val="0"/>
          <w:numId w:val="37"/>
        </w:numPr>
        <w:spacing w:line="276" w:lineRule="auto"/>
        <w:ind w:left="450" w:hanging="360"/>
      </w:pPr>
      <w:bookmarkStart w:id="95" w:name="_TOC_250017"/>
      <w:bookmarkStart w:id="96" w:name="_Toc189212123"/>
      <w:r w:rsidRPr="004C639D">
        <w:t xml:space="preserve">INTERNATIONAL </w:t>
      </w:r>
      <w:bookmarkEnd w:id="95"/>
      <w:r w:rsidRPr="004C639D">
        <w:t>TAX</w:t>
      </w:r>
      <w:bookmarkEnd w:id="96"/>
    </w:p>
    <w:p w14:paraId="520187F0" w14:textId="77777777" w:rsidR="00375F5E" w:rsidRPr="004C639D" w:rsidRDefault="00375F5E" w:rsidP="251BE3F0">
      <w:pPr>
        <w:pStyle w:val="BodyText"/>
        <w:rPr>
          <w:rFonts w:ascii="Arial"/>
          <w:b/>
          <w:bCs/>
          <w:sz w:val="24"/>
          <w:szCs w:val="24"/>
          <w:lang w:val="en-ZA"/>
        </w:rPr>
      </w:pPr>
    </w:p>
    <w:p w14:paraId="1FC8DAD4" w14:textId="69682E92" w:rsidR="00375F5E" w:rsidRPr="003F111D" w:rsidRDefault="7A3D47F5" w:rsidP="00403DF5">
      <w:pPr>
        <w:pStyle w:val="Heading3"/>
        <w:numPr>
          <w:ilvl w:val="1"/>
          <w:numId w:val="37"/>
        </w:numPr>
        <w:tabs>
          <w:tab w:val="left" w:pos="709"/>
        </w:tabs>
        <w:spacing w:before="0"/>
        <w:ind w:left="993" w:hanging="426"/>
        <w:rPr>
          <w:sz w:val="22"/>
          <w:szCs w:val="22"/>
          <w:lang w:val="en-ZA"/>
        </w:rPr>
      </w:pPr>
      <w:bookmarkStart w:id="97" w:name="_Toc189212124"/>
      <w:r w:rsidRPr="003F111D">
        <w:rPr>
          <w:sz w:val="22"/>
          <w:szCs w:val="22"/>
          <w:lang w:val="en-ZA"/>
        </w:rPr>
        <w:t>Clarifying the translation for hyperinflationary currencies</w:t>
      </w:r>
      <w:bookmarkEnd w:id="97"/>
    </w:p>
    <w:p w14:paraId="777FCC48" w14:textId="05086068" w:rsidR="00375F5E" w:rsidRPr="003F111D" w:rsidRDefault="454DE0F2">
      <w:pPr>
        <w:pStyle w:val="BodyText"/>
        <w:spacing w:before="158"/>
        <w:ind w:left="555"/>
        <w:jc w:val="both"/>
        <w:rPr>
          <w:rFonts w:ascii="Arial" w:hAnsi="Arial" w:cs="Arial"/>
          <w:sz w:val="22"/>
          <w:szCs w:val="22"/>
          <w:lang w:val="en-ZA"/>
        </w:rPr>
      </w:pPr>
      <w:r w:rsidRPr="003F111D">
        <w:rPr>
          <w:rFonts w:ascii="Arial" w:hAnsi="Arial" w:cs="Arial"/>
          <w:sz w:val="22"/>
          <w:szCs w:val="22"/>
          <w:lang w:val="en-ZA"/>
        </w:rPr>
        <w:t xml:space="preserve">(Main reference: </w:t>
      </w:r>
      <w:r w:rsidR="61E20E80" w:rsidRPr="003F111D">
        <w:rPr>
          <w:rFonts w:ascii="Arial" w:hAnsi="Arial" w:cs="Arial"/>
          <w:sz w:val="22"/>
          <w:szCs w:val="22"/>
          <w:lang w:val="en-ZA"/>
        </w:rPr>
        <w:t>Sections 9D(2A) and 9D(6)</w:t>
      </w:r>
      <w:r w:rsidRPr="003F111D">
        <w:rPr>
          <w:rFonts w:ascii="Arial" w:hAnsi="Arial" w:cs="Arial"/>
          <w:sz w:val="22"/>
          <w:szCs w:val="22"/>
          <w:lang w:val="en-ZA"/>
        </w:rPr>
        <w:t xml:space="preserve"> of the Act: Clause </w:t>
      </w:r>
      <w:r w:rsidR="53C783F6" w:rsidRPr="003F111D">
        <w:rPr>
          <w:rFonts w:ascii="Arial" w:hAnsi="Arial" w:cs="Arial"/>
          <w:sz w:val="22"/>
          <w:szCs w:val="22"/>
          <w:lang w:val="en-ZA"/>
        </w:rPr>
        <w:t>7</w:t>
      </w:r>
      <w:r w:rsidRPr="003F111D">
        <w:rPr>
          <w:rFonts w:ascii="Arial" w:hAnsi="Arial" w:cs="Arial"/>
          <w:sz w:val="22"/>
          <w:szCs w:val="22"/>
          <w:lang w:val="en-ZA"/>
        </w:rPr>
        <w:t xml:space="preserve"> of the Draft TLAB)</w:t>
      </w:r>
    </w:p>
    <w:p w14:paraId="5C014BAC" w14:textId="3140AB34" w:rsidR="6BF0EF6B" w:rsidRPr="004C639D" w:rsidRDefault="6BF0EF6B" w:rsidP="6BF0EF6B">
      <w:pPr>
        <w:pStyle w:val="BodyText"/>
        <w:spacing w:before="1" w:line="271" w:lineRule="auto"/>
        <w:ind w:left="492" w:right="152"/>
        <w:jc w:val="both"/>
        <w:rPr>
          <w:lang w:val="en-ZA"/>
        </w:rPr>
      </w:pPr>
    </w:p>
    <w:p w14:paraId="6614E868" w14:textId="20526856" w:rsidR="003759E9" w:rsidRPr="003F111D" w:rsidRDefault="003759E9" w:rsidP="00403DF5">
      <w:pPr>
        <w:pStyle w:val="BodyText"/>
        <w:spacing w:line="271" w:lineRule="auto"/>
        <w:ind w:left="831" w:right="152"/>
        <w:jc w:val="both"/>
        <w:rPr>
          <w:rFonts w:ascii="Arial" w:hAnsi="Arial" w:cs="Arial"/>
          <w:iCs/>
          <w:sz w:val="22"/>
          <w:szCs w:val="22"/>
          <w:lang w:val="en-ZA"/>
        </w:rPr>
      </w:pPr>
      <w:r w:rsidRPr="003F111D">
        <w:rPr>
          <w:rFonts w:ascii="Arial" w:hAnsi="Arial" w:cs="Arial"/>
          <w:iCs/>
          <w:sz w:val="22"/>
          <w:szCs w:val="22"/>
          <w:lang w:val="en-ZA"/>
        </w:rPr>
        <w:t xml:space="preserve">In general, the net income of a controlled foreign company (CFC) is to be determined in the currency used by that CFC for purposes of financial reporting and to be translated into the currency of the Republic at an average exchange rate for that year of assessment. However, exchange items that are not attributable to any permanent establishment of the CFC must currently be translated to the hyperinflationary functional currency. </w:t>
      </w:r>
    </w:p>
    <w:p w14:paraId="05AF2AAA" w14:textId="77777777" w:rsidR="003759E9" w:rsidRPr="003F111D" w:rsidRDefault="003759E9" w:rsidP="003759E9">
      <w:pPr>
        <w:pStyle w:val="BodyText"/>
        <w:spacing w:before="1" w:line="271" w:lineRule="auto"/>
        <w:ind w:left="492" w:right="152"/>
        <w:jc w:val="both"/>
        <w:rPr>
          <w:rFonts w:ascii="Arial" w:hAnsi="Arial" w:cs="Arial"/>
          <w:iCs/>
          <w:sz w:val="22"/>
          <w:szCs w:val="22"/>
          <w:lang w:val="en-ZA"/>
        </w:rPr>
      </w:pPr>
    </w:p>
    <w:p w14:paraId="4B24BD2A" w14:textId="61D363F9" w:rsidR="003759E9" w:rsidRPr="003F111D" w:rsidRDefault="003759E9" w:rsidP="00403DF5">
      <w:pPr>
        <w:pStyle w:val="BodyText"/>
        <w:spacing w:line="271" w:lineRule="auto"/>
        <w:ind w:left="831" w:right="152"/>
        <w:jc w:val="both"/>
        <w:rPr>
          <w:rFonts w:ascii="Arial" w:hAnsi="Arial" w:cs="Arial"/>
          <w:iCs/>
          <w:sz w:val="22"/>
          <w:szCs w:val="22"/>
          <w:lang w:val="en-ZA"/>
        </w:rPr>
      </w:pPr>
      <w:r w:rsidRPr="003F111D">
        <w:rPr>
          <w:rFonts w:ascii="Arial" w:hAnsi="Arial" w:cs="Arial"/>
          <w:iCs/>
          <w:sz w:val="22"/>
          <w:szCs w:val="22"/>
          <w:lang w:val="en-ZA"/>
        </w:rPr>
        <w:t>It is proposed that these rules be clarified so that where the currency used for financial reporting is the currency of the country which has an official rate of inflation of 100 per cent or more throughout the foreign tax year, exchange items in a foreign currency are to be translated to Rand.</w:t>
      </w:r>
    </w:p>
    <w:p w14:paraId="68262550" w14:textId="77777777" w:rsidR="003759E9" w:rsidRPr="003F111D" w:rsidRDefault="003759E9" w:rsidP="00B74C99">
      <w:pPr>
        <w:pStyle w:val="BodyText"/>
        <w:spacing w:before="1" w:line="271" w:lineRule="auto"/>
        <w:ind w:left="492" w:right="152"/>
        <w:jc w:val="both"/>
        <w:rPr>
          <w:lang w:val="en-ZA"/>
        </w:rPr>
      </w:pPr>
    </w:p>
    <w:p w14:paraId="67896CCF" w14:textId="324DFF96" w:rsidR="000F7406" w:rsidRPr="003F111D" w:rsidRDefault="000F7406" w:rsidP="000F7406">
      <w:pPr>
        <w:pStyle w:val="BodyText"/>
        <w:spacing w:line="271" w:lineRule="auto"/>
        <w:ind w:left="492" w:right="153"/>
        <w:jc w:val="both"/>
        <w:rPr>
          <w:rFonts w:ascii="Arial" w:hAnsi="Arial" w:cs="Arial"/>
          <w:i/>
          <w:sz w:val="22"/>
          <w:szCs w:val="22"/>
          <w:lang w:val="en-ZA"/>
        </w:rPr>
      </w:pPr>
      <w:bookmarkStart w:id="98" w:name="_Hlk180358719"/>
      <w:bookmarkStart w:id="99" w:name="_Hlk147865583"/>
      <w:bookmarkStart w:id="100" w:name="_Hlk146786827"/>
      <w:r w:rsidRPr="003F111D">
        <w:rPr>
          <w:rFonts w:ascii="Arial" w:hAnsi="Arial" w:cs="Arial"/>
          <w:i/>
          <w:sz w:val="22"/>
          <w:szCs w:val="22"/>
          <w:lang w:val="en-ZA"/>
        </w:rPr>
        <w:t xml:space="preserve">Comment: </w:t>
      </w:r>
      <w:r w:rsidRPr="00403DF5">
        <w:rPr>
          <w:rFonts w:ascii="Arial" w:hAnsi="Arial" w:cs="Arial"/>
          <w:iCs/>
          <w:sz w:val="22"/>
          <w:szCs w:val="22"/>
          <w:lang w:val="en-ZA"/>
        </w:rPr>
        <w:t>We support the effort to simplify the translation procedure. However, we note that the proposed effective date of December 31, 2024, also applies to the current tax year of controlled foreign companies ending on or after this date. This retrospective application may present practical challenges during implementation. We recommend considering these factors to ensure a smooth transition and avoid potential complications for businesses adapting to the new rule</w:t>
      </w:r>
      <w:r w:rsidR="00797269" w:rsidRPr="00403DF5">
        <w:rPr>
          <w:rFonts w:ascii="Arial" w:hAnsi="Arial" w:cs="Arial"/>
          <w:iCs/>
          <w:sz w:val="22"/>
          <w:szCs w:val="22"/>
          <w:lang w:val="en-ZA"/>
        </w:rPr>
        <w:t>.</w:t>
      </w:r>
    </w:p>
    <w:p w14:paraId="1E203F75" w14:textId="77777777" w:rsidR="000F7406" w:rsidRPr="003F111D" w:rsidRDefault="000F7406" w:rsidP="000F7406">
      <w:pPr>
        <w:pStyle w:val="BodyText"/>
        <w:spacing w:line="271" w:lineRule="auto"/>
        <w:ind w:left="831" w:right="152"/>
        <w:jc w:val="both"/>
        <w:rPr>
          <w:rFonts w:ascii="Arial"/>
          <w:i/>
          <w:iCs/>
          <w:lang w:val="en-ZA"/>
        </w:rPr>
      </w:pPr>
    </w:p>
    <w:p w14:paraId="4E372EA8" w14:textId="32000D49" w:rsidR="00D47013" w:rsidRDefault="000F7406" w:rsidP="0097706A">
      <w:pPr>
        <w:pStyle w:val="BodyText"/>
        <w:spacing w:line="271" w:lineRule="auto"/>
        <w:ind w:left="831" w:right="152"/>
        <w:jc w:val="both"/>
        <w:rPr>
          <w:rFonts w:ascii="Arial" w:hAnsi="Arial" w:cs="Arial"/>
          <w:i/>
          <w:sz w:val="22"/>
          <w:szCs w:val="22"/>
          <w:lang w:val="en-ZA"/>
        </w:rPr>
      </w:pPr>
      <w:r w:rsidRPr="003F111D">
        <w:rPr>
          <w:rFonts w:ascii="Arial" w:hAnsi="Arial" w:cs="Arial"/>
          <w:i/>
          <w:sz w:val="22"/>
          <w:szCs w:val="22"/>
          <w:lang w:val="en-ZA"/>
        </w:rPr>
        <w:t xml:space="preserve">Response: </w:t>
      </w:r>
      <w:r w:rsidRPr="00403DF5">
        <w:rPr>
          <w:rFonts w:ascii="Arial" w:hAnsi="Arial" w:cs="Arial"/>
          <w:iCs/>
          <w:sz w:val="22"/>
          <w:szCs w:val="22"/>
          <w:lang w:val="en-ZA"/>
        </w:rPr>
        <w:t>Comment misplaced. The practical challenges during implementation were not explained and this proposal does not have a retrospective application as come into operation on 1 January 2025 and apply in respect of years of assessment commencing on or after that date</w:t>
      </w:r>
      <w:r w:rsidRPr="003F111D">
        <w:rPr>
          <w:rFonts w:ascii="Arial" w:hAnsi="Arial" w:cs="Arial"/>
          <w:i/>
          <w:sz w:val="22"/>
          <w:szCs w:val="22"/>
          <w:lang w:val="en-ZA"/>
        </w:rPr>
        <w:t xml:space="preserve">. </w:t>
      </w:r>
      <w:bookmarkEnd w:id="98"/>
    </w:p>
    <w:p w14:paraId="35A8F2C8" w14:textId="77777777" w:rsidR="00375F5E" w:rsidRPr="004C639D" w:rsidRDefault="00375F5E" w:rsidP="251BE3F0">
      <w:pPr>
        <w:pStyle w:val="BodyText"/>
        <w:rPr>
          <w:sz w:val="22"/>
          <w:szCs w:val="22"/>
          <w:lang w:val="en-ZA"/>
        </w:rPr>
      </w:pPr>
      <w:bookmarkStart w:id="101" w:name="_Hlk147158650"/>
      <w:bookmarkEnd w:id="99"/>
      <w:bookmarkEnd w:id="100"/>
    </w:p>
    <w:p w14:paraId="3DBA365D" w14:textId="690A7398" w:rsidR="00375F5E" w:rsidRPr="003F111D" w:rsidRDefault="454DE0F2" w:rsidP="00403DF5">
      <w:pPr>
        <w:pStyle w:val="Heading3"/>
        <w:numPr>
          <w:ilvl w:val="1"/>
          <w:numId w:val="37"/>
        </w:numPr>
        <w:tabs>
          <w:tab w:val="left" w:pos="709"/>
        </w:tabs>
        <w:spacing w:before="0"/>
        <w:ind w:left="993" w:hanging="426"/>
        <w:rPr>
          <w:sz w:val="22"/>
          <w:szCs w:val="22"/>
          <w:lang w:val="en-ZA"/>
        </w:rPr>
      </w:pPr>
      <w:bookmarkStart w:id="102" w:name="_TOC_250016"/>
      <w:bookmarkStart w:id="103" w:name="_Toc1932113914"/>
      <w:bookmarkStart w:id="104" w:name="_Toc189212125"/>
      <w:r w:rsidRPr="003F111D">
        <w:rPr>
          <w:sz w:val="22"/>
          <w:szCs w:val="22"/>
          <w:lang w:val="en-ZA"/>
        </w:rPr>
        <w:t xml:space="preserve">Clarifying the </w:t>
      </w:r>
      <w:r w:rsidR="02C7E21D" w:rsidRPr="003F111D">
        <w:rPr>
          <w:sz w:val="22"/>
          <w:szCs w:val="22"/>
          <w:lang w:val="en-ZA"/>
        </w:rPr>
        <w:t>18-month period in relation to shareholdings by group</w:t>
      </w:r>
      <w:r w:rsidR="00C57812">
        <w:rPr>
          <w:sz w:val="22"/>
          <w:szCs w:val="22"/>
          <w:lang w:val="en-ZA"/>
        </w:rPr>
        <w:t xml:space="preserve"> </w:t>
      </w:r>
      <w:r w:rsidR="02C7E21D" w:rsidRPr="003F111D">
        <w:rPr>
          <w:sz w:val="22"/>
          <w:szCs w:val="22"/>
          <w:lang w:val="en-ZA"/>
        </w:rPr>
        <w:t>entities</w:t>
      </w:r>
      <w:bookmarkEnd w:id="102"/>
      <w:bookmarkEnd w:id="103"/>
      <w:bookmarkEnd w:id="104"/>
    </w:p>
    <w:p w14:paraId="037F6FD9" w14:textId="0D48C443" w:rsidR="003D2F7F" w:rsidRPr="004C639D" w:rsidRDefault="52806512" w:rsidP="003D2F7F">
      <w:pPr>
        <w:pStyle w:val="BodyText"/>
        <w:spacing w:before="158"/>
        <w:ind w:left="555"/>
        <w:jc w:val="both"/>
        <w:rPr>
          <w:rFonts w:ascii="Arial" w:hAnsi="Arial" w:cs="Arial"/>
          <w:sz w:val="22"/>
          <w:szCs w:val="22"/>
          <w:lang w:val="en-ZA"/>
        </w:rPr>
      </w:pPr>
      <w:bookmarkStart w:id="105" w:name="_Hlk147158734"/>
      <w:bookmarkEnd w:id="101"/>
      <w:r w:rsidRPr="003F111D">
        <w:rPr>
          <w:rFonts w:ascii="Arial" w:hAnsi="Arial" w:cs="Arial"/>
          <w:sz w:val="22"/>
          <w:szCs w:val="22"/>
          <w:lang w:val="en-ZA"/>
        </w:rPr>
        <w:t xml:space="preserve">(Main reference: </w:t>
      </w:r>
      <w:r w:rsidR="13BE06BA" w:rsidRPr="003F111D">
        <w:rPr>
          <w:rFonts w:ascii="Arial" w:hAnsi="Arial" w:cs="Arial"/>
          <w:sz w:val="22"/>
          <w:szCs w:val="22"/>
          <w:lang w:val="en-ZA"/>
        </w:rPr>
        <w:t>Paragraph 64B</w:t>
      </w:r>
      <w:r w:rsidRPr="003F111D">
        <w:rPr>
          <w:rFonts w:ascii="Arial" w:hAnsi="Arial" w:cs="Arial"/>
          <w:sz w:val="22"/>
          <w:szCs w:val="22"/>
          <w:lang w:val="en-ZA"/>
        </w:rPr>
        <w:t xml:space="preserve"> of the </w:t>
      </w:r>
      <w:r w:rsidR="13BE06BA" w:rsidRPr="003F111D">
        <w:rPr>
          <w:rFonts w:ascii="Arial" w:hAnsi="Arial" w:cs="Arial"/>
          <w:sz w:val="22"/>
          <w:szCs w:val="22"/>
          <w:lang w:val="en-ZA"/>
        </w:rPr>
        <w:t xml:space="preserve">Eighth Schedule to the </w:t>
      </w:r>
      <w:r w:rsidRPr="003F111D">
        <w:rPr>
          <w:rFonts w:ascii="Arial" w:hAnsi="Arial" w:cs="Arial"/>
          <w:sz w:val="22"/>
          <w:szCs w:val="22"/>
          <w:lang w:val="en-ZA"/>
        </w:rPr>
        <w:t xml:space="preserve">Act: Clause </w:t>
      </w:r>
      <w:r w:rsidR="180666FB" w:rsidRPr="003F111D">
        <w:rPr>
          <w:rFonts w:ascii="Arial" w:hAnsi="Arial" w:cs="Arial"/>
          <w:sz w:val="22"/>
          <w:szCs w:val="22"/>
          <w:lang w:val="en-ZA"/>
        </w:rPr>
        <w:t>35</w:t>
      </w:r>
      <w:r w:rsidRPr="003F111D">
        <w:rPr>
          <w:rFonts w:ascii="Arial" w:hAnsi="Arial" w:cs="Arial"/>
          <w:sz w:val="22"/>
          <w:szCs w:val="22"/>
          <w:lang w:val="en-ZA"/>
        </w:rPr>
        <w:t xml:space="preserve"> of the Draft TLAB)</w:t>
      </w:r>
    </w:p>
    <w:p w14:paraId="3C1D3FAF" w14:textId="77777777" w:rsidR="00797269" w:rsidRPr="003F111D" w:rsidRDefault="00797269" w:rsidP="003D2F7F">
      <w:pPr>
        <w:pStyle w:val="BodyText"/>
        <w:spacing w:before="158"/>
        <w:ind w:left="555"/>
        <w:jc w:val="both"/>
        <w:rPr>
          <w:rFonts w:ascii="Arial" w:hAnsi="Arial" w:cs="Arial"/>
          <w:sz w:val="22"/>
          <w:szCs w:val="22"/>
          <w:lang w:val="en-ZA"/>
        </w:rPr>
      </w:pPr>
    </w:p>
    <w:p w14:paraId="3B237EBC" w14:textId="77777777" w:rsidR="00CE5727" w:rsidRPr="004C639D" w:rsidRDefault="00CE5727" w:rsidP="00403DF5">
      <w:pPr>
        <w:pStyle w:val="BodyText"/>
        <w:spacing w:line="271" w:lineRule="auto"/>
        <w:ind w:left="831" w:right="152"/>
        <w:jc w:val="both"/>
        <w:rPr>
          <w:rFonts w:ascii="Arial" w:hAnsi="Arial" w:cs="Arial"/>
          <w:iCs/>
          <w:sz w:val="22"/>
          <w:szCs w:val="22"/>
          <w:lang w:val="en-ZA"/>
        </w:rPr>
      </w:pPr>
      <w:r w:rsidRPr="003F111D">
        <w:rPr>
          <w:rFonts w:ascii="Arial" w:hAnsi="Arial" w:cs="Arial"/>
          <w:iCs/>
          <w:sz w:val="22"/>
          <w:szCs w:val="22"/>
          <w:lang w:val="en-ZA"/>
        </w:rPr>
        <w:t>In 2023, it was proposed that a similar 18-month holding requirement that applied to the participation exemption relating to the sale of shares in a foreign company should be introduced for the participation exemption in respect of the foreign return of capital in a controlled foreign company.</w:t>
      </w:r>
    </w:p>
    <w:p w14:paraId="3680E107" w14:textId="77777777" w:rsidR="00797269" w:rsidRPr="003F111D" w:rsidRDefault="00797269" w:rsidP="003F111D">
      <w:pPr>
        <w:pStyle w:val="BodyText"/>
        <w:spacing w:before="1" w:line="271" w:lineRule="auto"/>
        <w:ind w:left="492" w:right="152"/>
        <w:jc w:val="both"/>
        <w:rPr>
          <w:rFonts w:ascii="Arial" w:hAnsi="Arial" w:cs="Arial"/>
          <w:iCs/>
          <w:sz w:val="22"/>
          <w:szCs w:val="22"/>
          <w:lang w:val="en-ZA"/>
        </w:rPr>
      </w:pPr>
    </w:p>
    <w:p w14:paraId="003935D4" w14:textId="17CA33FF" w:rsidR="619294B4" w:rsidRPr="003F111D" w:rsidRDefault="00CE5727" w:rsidP="00403DF5">
      <w:pPr>
        <w:pStyle w:val="BodyText"/>
        <w:spacing w:line="271" w:lineRule="auto"/>
        <w:ind w:left="831" w:right="152"/>
        <w:jc w:val="both"/>
        <w:rPr>
          <w:rFonts w:ascii="Arial" w:hAnsi="Arial" w:cs="Arial"/>
          <w:iCs/>
          <w:sz w:val="22"/>
          <w:szCs w:val="22"/>
          <w:lang w:val="en-ZA"/>
        </w:rPr>
      </w:pPr>
      <w:r w:rsidRPr="003F111D">
        <w:rPr>
          <w:rFonts w:ascii="Arial" w:hAnsi="Arial" w:cs="Arial"/>
          <w:iCs/>
          <w:sz w:val="22"/>
          <w:szCs w:val="22"/>
          <w:lang w:val="en-ZA"/>
        </w:rPr>
        <w:t xml:space="preserve">However, the current wording is not quite clear, and it is proposed that this wording be refined.  </w:t>
      </w:r>
    </w:p>
    <w:bookmarkEnd w:id="105"/>
    <w:p w14:paraId="1BC4E3DA" w14:textId="77777777" w:rsidR="002A2E31" w:rsidRPr="004C639D" w:rsidRDefault="002A2E31" w:rsidP="002A2E31">
      <w:pPr>
        <w:pStyle w:val="BodyText"/>
        <w:spacing w:line="271" w:lineRule="auto"/>
        <w:ind w:left="492" w:right="153"/>
        <w:jc w:val="both"/>
        <w:rPr>
          <w:rFonts w:ascii="Arial"/>
          <w:i/>
          <w:iCs/>
          <w:lang w:val="en-ZA"/>
        </w:rPr>
      </w:pPr>
    </w:p>
    <w:p w14:paraId="6B65D239" w14:textId="4BBED6BA" w:rsidR="002A2E31" w:rsidRPr="003F111D" w:rsidRDefault="002A2E31" w:rsidP="002A2E31">
      <w:pPr>
        <w:pStyle w:val="BodyText"/>
        <w:spacing w:line="271" w:lineRule="auto"/>
        <w:ind w:left="492" w:right="153"/>
        <w:jc w:val="both"/>
        <w:rPr>
          <w:rFonts w:ascii="Arial" w:hAnsi="Arial" w:cs="Arial"/>
          <w:i/>
          <w:sz w:val="22"/>
          <w:szCs w:val="22"/>
          <w:lang w:val="en-ZA"/>
        </w:rPr>
      </w:pPr>
      <w:bookmarkStart w:id="106" w:name="_Hlk180353113"/>
      <w:r w:rsidRPr="003F111D">
        <w:rPr>
          <w:rFonts w:ascii="Arial" w:hAnsi="Arial" w:cs="Arial"/>
          <w:i/>
          <w:sz w:val="22"/>
          <w:szCs w:val="22"/>
          <w:lang w:val="en-ZA"/>
        </w:rPr>
        <w:t xml:space="preserve">Comment: </w:t>
      </w:r>
      <w:r w:rsidR="00C17B4F" w:rsidRPr="00403DF5">
        <w:rPr>
          <w:rFonts w:ascii="Arial" w:hAnsi="Arial" w:cs="Arial"/>
          <w:iCs/>
          <w:sz w:val="22"/>
          <w:szCs w:val="22"/>
          <w:lang w:val="en-ZA"/>
        </w:rPr>
        <w:t>While the proposed amendment to paragraph 64B(4) is appreciated, it falls short. The change merely replicates the current language in para</w:t>
      </w:r>
      <w:r w:rsidR="00CE5727" w:rsidRPr="00403DF5">
        <w:rPr>
          <w:rFonts w:ascii="Arial" w:hAnsi="Arial" w:cs="Arial"/>
          <w:iCs/>
          <w:sz w:val="22"/>
          <w:szCs w:val="22"/>
          <w:lang w:val="en-ZA"/>
        </w:rPr>
        <w:t>graph</w:t>
      </w:r>
      <w:r w:rsidR="00C17B4F" w:rsidRPr="00403DF5">
        <w:rPr>
          <w:rFonts w:ascii="Arial" w:hAnsi="Arial" w:cs="Arial"/>
          <w:iCs/>
          <w:sz w:val="22"/>
          <w:szCs w:val="22"/>
          <w:lang w:val="en-ZA"/>
        </w:rPr>
        <w:t xml:space="preserve"> 64B(1) and does not adequately address the 18-month holding rule. This rule only considers a single transfer of the foreign company within the group of companies over an 18-month period. If there are multiple transfers within that timeframe, the requirement is not met. The rule should account for all holdings within the group over 18 months, not just the last two holders. Similar adjustments should also be made to paragraph 64B(1)</w:t>
      </w:r>
      <w:r w:rsidR="008040FD" w:rsidRPr="00403DF5">
        <w:rPr>
          <w:rFonts w:ascii="Arial" w:hAnsi="Arial" w:cs="Arial"/>
          <w:iCs/>
          <w:sz w:val="22"/>
          <w:szCs w:val="22"/>
          <w:lang w:val="en-ZA"/>
        </w:rPr>
        <w:t>.</w:t>
      </w:r>
      <w:r w:rsidR="008040FD" w:rsidRPr="003F111D">
        <w:rPr>
          <w:rFonts w:ascii="Arial" w:hAnsi="Arial" w:cs="Arial"/>
          <w:i/>
          <w:sz w:val="22"/>
          <w:szCs w:val="22"/>
          <w:lang w:val="en-ZA"/>
        </w:rPr>
        <w:t xml:space="preserve"> </w:t>
      </w:r>
    </w:p>
    <w:p w14:paraId="3C3EBF1B" w14:textId="77777777" w:rsidR="002A2E31" w:rsidRPr="003F111D" w:rsidRDefault="002A2E31" w:rsidP="002A2E31">
      <w:pPr>
        <w:pStyle w:val="BodyText"/>
        <w:spacing w:line="271" w:lineRule="auto"/>
        <w:ind w:left="831" w:right="152"/>
        <w:jc w:val="both"/>
        <w:rPr>
          <w:rFonts w:ascii="Arial"/>
          <w:i/>
          <w:iCs/>
          <w:lang w:val="en-ZA"/>
        </w:rPr>
      </w:pPr>
    </w:p>
    <w:p w14:paraId="4E3645F3" w14:textId="2AAF88FB" w:rsidR="002A2E31" w:rsidRPr="003F111D" w:rsidRDefault="002A2E31" w:rsidP="0FE5895A">
      <w:pPr>
        <w:pStyle w:val="BodyText"/>
        <w:spacing w:line="271" w:lineRule="auto"/>
        <w:ind w:left="831" w:right="152"/>
        <w:jc w:val="both"/>
        <w:rPr>
          <w:rFonts w:ascii="Arial" w:hAnsi="Arial" w:cs="Arial"/>
          <w:i/>
          <w:iCs/>
          <w:sz w:val="22"/>
          <w:szCs w:val="22"/>
        </w:rPr>
      </w:pPr>
      <w:r w:rsidRPr="0FE5895A">
        <w:rPr>
          <w:rFonts w:ascii="Arial" w:hAnsi="Arial" w:cs="Arial"/>
          <w:i/>
          <w:iCs/>
          <w:sz w:val="22"/>
          <w:szCs w:val="22"/>
        </w:rPr>
        <w:t xml:space="preserve">Response: </w:t>
      </w:r>
      <w:r w:rsidR="00C17B4F" w:rsidRPr="0FE5895A">
        <w:rPr>
          <w:rFonts w:ascii="Arial" w:hAnsi="Arial" w:cs="Arial"/>
          <w:sz w:val="22"/>
          <w:szCs w:val="22"/>
          <w:u w:val="single"/>
        </w:rPr>
        <w:t>Noted</w:t>
      </w:r>
      <w:r w:rsidRPr="0FE5895A">
        <w:rPr>
          <w:rFonts w:ascii="Arial" w:hAnsi="Arial" w:cs="Arial"/>
          <w:sz w:val="22"/>
          <w:szCs w:val="22"/>
        </w:rPr>
        <w:t xml:space="preserve">. </w:t>
      </w:r>
      <w:r w:rsidR="00CE5727" w:rsidRPr="0FE5895A">
        <w:rPr>
          <w:rFonts w:ascii="Arial" w:hAnsi="Arial" w:cs="Arial"/>
          <w:sz w:val="22"/>
          <w:szCs w:val="22"/>
        </w:rPr>
        <w:t>The above suggestion will be recommended for the 2025 Budget Review</w:t>
      </w:r>
      <w:r w:rsidR="00CE5727" w:rsidRPr="0FE5895A">
        <w:rPr>
          <w:rFonts w:ascii="Arial" w:hAnsi="Arial" w:cs="Arial"/>
          <w:i/>
          <w:iCs/>
          <w:sz w:val="22"/>
          <w:szCs w:val="22"/>
        </w:rPr>
        <w:t xml:space="preserve">.  </w:t>
      </w:r>
      <w:r w:rsidRPr="0FE5895A">
        <w:rPr>
          <w:rFonts w:ascii="Arial" w:hAnsi="Arial" w:cs="Arial"/>
          <w:i/>
          <w:iCs/>
          <w:sz w:val="22"/>
          <w:szCs w:val="22"/>
        </w:rPr>
        <w:t xml:space="preserve"> </w:t>
      </w:r>
    </w:p>
    <w:bookmarkEnd w:id="106"/>
    <w:p w14:paraId="39ACEC4F" w14:textId="6BFE3EB5" w:rsidR="003D2F7F" w:rsidRPr="004C639D" w:rsidRDefault="003D2F7F" w:rsidP="251BE3F0">
      <w:pPr>
        <w:pStyle w:val="BodyText"/>
        <w:spacing w:line="271" w:lineRule="auto"/>
        <w:ind w:left="492" w:right="153"/>
        <w:jc w:val="both"/>
        <w:rPr>
          <w:rFonts w:ascii="Arial"/>
          <w:i/>
          <w:iCs/>
          <w:lang w:val="en-ZA"/>
        </w:rPr>
      </w:pPr>
    </w:p>
    <w:p w14:paraId="15267A7D" w14:textId="77777777" w:rsidR="00927B1F" w:rsidRPr="004C639D" w:rsidRDefault="00927B1F" w:rsidP="00927B1F">
      <w:pPr>
        <w:pStyle w:val="Heading3"/>
        <w:tabs>
          <w:tab w:val="left" w:pos="562"/>
        </w:tabs>
        <w:spacing w:before="1"/>
        <w:ind w:left="561" w:firstLine="0"/>
        <w:rPr>
          <w:lang w:val="en-ZA"/>
        </w:rPr>
      </w:pPr>
      <w:bookmarkStart w:id="107" w:name="_Hlk147198634"/>
    </w:p>
    <w:p w14:paraId="0035D9D7" w14:textId="25E5D918" w:rsidR="00927B1F" w:rsidRPr="003F111D" w:rsidRDefault="2DD788E9" w:rsidP="00403DF5">
      <w:pPr>
        <w:pStyle w:val="Heading3"/>
        <w:numPr>
          <w:ilvl w:val="1"/>
          <w:numId w:val="37"/>
        </w:numPr>
        <w:tabs>
          <w:tab w:val="left" w:pos="709"/>
        </w:tabs>
        <w:spacing w:before="0"/>
        <w:ind w:left="993" w:hanging="426"/>
        <w:rPr>
          <w:sz w:val="22"/>
          <w:szCs w:val="22"/>
          <w:lang w:val="en-ZA"/>
        </w:rPr>
      </w:pPr>
      <w:bookmarkStart w:id="108" w:name="_Toc441884478"/>
      <w:bookmarkStart w:id="109" w:name="_Toc189212126"/>
      <w:r w:rsidRPr="003F111D">
        <w:rPr>
          <w:sz w:val="22"/>
          <w:szCs w:val="22"/>
          <w:lang w:val="en-ZA"/>
        </w:rPr>
        <w:t>Clarifying the rebate for foreign taxes on income in respect of capital gains</w:t>
      </w:r>
      <w:bookmarkEnd w:id="108"/>
      <w:bookmarkEnd w:id="109"/>
    </w:p>
    <w:p w14:paraId="4886E9BF" w14:textId="50940513" w:rsidR="000D53D3" w:rsidRPr="004C639D" w:rsidRDefault="2118BFED" w:rsidP="003D2F7F">
      <w:pPr>
        <w:pStyle w:val="BodyText"/>
        <w:spacing w:before="158"/>
        <w:ind w:left="555"/>
        <w:jc w:val="both"/>
        <w:rPr>
          <w:rFonts w:ascii="Arial" w:hAnsi="Arial" w:cs="Arial"/>
          <w:sz w:val="22"/>
          <w:szCs w:val="22"/>
          <w:lang w:val="en-ZA"/>
        </w:rPr>
      </w:pPr>
      <w:bookmarkStart w:id="110" w:name="_Hlk147198709"/>
      <w:bookmarkEnd w:id="107"/>
      <w:r w:rsidRPr="003F111D">
        <w:rPr>
          <w:rFonts w:ascii="Arial" w:hAnsi="Arial" w:cs="Arial"/>
          <w:sz w:val="22"/>
          <w:szCs w:val="22"/>
          <w:lang w:val="en-ZA"/>
        </w:rPr>
        <w:t xml:space="preserve">(Main reference: Section </w:t>
      </w:r>
      <w:r w:rsidR="54298519" w:rsidRPr="003F111D">
        <w:rPr>
          <w:rFonts w:ascii="Arial" w:hAnsi="Arial" w:cs="Arial"/>
          <w:sz w:val="22"/>
          <w:szCs w:val="22"/>
          <w:lang w:val="en-ZA"/>
        </w:rPr>
        <w:t>6quat(1A)(</w:t>
      </w:r>
      <w:r w:rsidR="54298519" w:rsidRPr="00403DF5">
        <w:rPr>
          <w:rFonts w:ascii="Arial" w:hAnsi="Arial" w:cs="Arial"/>
          <w:i/>
          <w:iCs/>
        </w:rPr>
        <w:t>a</w:t>
      </w:r>
      <w:r w:rsidR="54298519" w:rsidRPr="003F111D">
        <w:rPr>
          <w:rFonts w:ascii="Arial" w:hAnsi="Arial" w:cs="Arial"/>
          <w:sz w:val="22"/>
          <w:szCs w:val="22"/>
          <w:lang w:val="en-ZA"/>
        </w:rPr>
        <w:t>)(iii) in</w:t>
      </w:r>
      <w:r w:rsidRPr="003F111D">
        <w:rPr>
          <w:rFonts w:ascii="Arial" w:hAnsi="Arial" w:cs="Arial"/>
          <w:sz w:val="22"/>
          <w:szCs w:val="22"/>
          <w:lang w:val="en-ZA"/>
        </w:rPr>
        <w:t xml:space="preserve"> the Act: Clause 2 of the Draft TLAB)</w:t>
      </w:r>
    </w:p>
    <w:p w14:paraId="369CFA18" w14:textId="77777777" w:rsidR="004A3B4B" w:rsidRPr="003F111D" w:rsidRDefault="004A3B4B" w:rsidP="000D53D3">
      <w:pPr>
        <w:pStyle w:val="BodyText"/>
        <w:spacing w:before="158"/>
        <w:ind w:left="555"/>
        <w:jc w:val="both"/>
        <w:rPr>
          <w:rFonts w:ascii="Arial" w:hAnsi="Arial" w:cs="Arial"/>
          <w:sz w:val="22"/>
          <w:szCs w:val="22"/>
          <w:lang w:val="en-ZA"/>
        </w:rPr>
      </w:pPr>
    </w:p>
    <w:p w14:paraId="6D0B7A60" w14:textId="77777777" w:rsidR="00C04802" w:rsidRPr="004C639D" w:rsidRDefault="00C04802" w:rsidP="00403DF5">
      <w:pPr>
        <w:pStyle w:val="BodyText"/>
        <w:spacing w:line="271" w:lineRule="auto"/>
        <w:ind w:left="831" w:right="152"/>
        <w:jc w:val="both"/>
        <w:rPr>
          <w:rFonts w:ascii="Arial" w:hAnsi="Arial" w:cs="Arial"/>
          <w:iCs/>
          <w:sz w:val="22"/>
          <w:szCs w:val="22"/>
          <w:lang w:val="en-ZA"/>
        </w:rPr>
      </w:pPr>
      <w:r w:rsidRPr="003F111D">
        <w:rPr>
          <w:rFonts w:ascii="Arial" w:hAnsi="Arial" w:cs="Arial"/>
          <w:iCs/>
          <w:sz w:val="22"/>
          <w:szCs w:val="22"/>
          <w:lang w:val="en-ZA"/>
        </w:rPr>
        <w:t xml:space="preserve">The Income Tax Act provides that a taxpayer should get credit for the taxes paid in the relevant foreign jurisdiction but limits this to the South African tax on the amount taxed in South Africa. No credit is available for exempt or untaxed amounts. According to the foreign tax credit rules dealing with foreign dividends, the tax-exempt portion must not be taken into account when determining the allowable foreign tax credit. However, the rules dealing with capital gains have no corresponding provision for the non-taxable portion of the capital gain. </w:t>
      </w:r>
    </w:p>
    <w:p w14:paraId="2B2B19A5" w14:textId="77777777" w:rsidR="004A3B4B" w:rsidRPr="003F111D" w:rsidRDefault="004A3B4B" w:rsidP="003F111D">
      <w:pPr>
        <w:pStyle w:val="BodyText"/>
        <w:spacing w:before="1" w:line="271" w:lineRule="auto"/>
        <w:ind w:left="492" w:right="152"/>
        <w:jc w:val="both"/>
        <w:rPr>
          <w:rFonts w:ascii="Arial" w:hAnsi="Arial" w:cs="Arial"/>
          <w:iCs/>
          <w:sz w:val="22"/>
          <w:szCs w:val="22"/>
          <w:lang w:val="en-ZA"/>
        </w:rPr>
      </w:pPr>
    </w:p>
    <w:p w14:paraId="10504B38" w14:textId="5CCB812F" w:rsidR="2CB649F8" w:rsidRPr="003F111D" w:rsidRDefault="00C04802" w:rsidP="00403DF5">
      <w:pPr>
        <w:pStyle w:val="BodyText"/>
        <w:spacing w:line="271" w:lineRule="auto"/>
        <w:ind w:left="831" w:right="152"/>
        <w:jc w:val="both"/>
        <w:rPr>
          <w:rFonts w:ascii="Arial" w:hAnsi="Arial" w:cs="Arial"/>
          <w:iCs/>
          <w:sz w:val="22"/>
          <w:szCs w:val="22"/>
          <w:lang w:val="en-ZA"/>
        </w:rPr>
      </w:pPr>
      <w:r w:rsidRPr="003F111D">
        <w:rPr>
          <w:rFonts w:ascii="Arial" w:hAnsi="Arial" w:cs="Arial"/>
          <w:iCs/>
          <w:sz w:val="22"/>
          <w:szCs w:val="22"/>
          <w:lang w:val="en-ZA"/>
        </w:rPr>
        <w:t xml:space="preserve">It is proposed that section 6quat be amended to explicitly allow for a full foreign tax credit against tax payable in South Africa on a capital gain for taxes payable in the relevant foreign jurisdiction on the disposal of an asset. This will ensure a similar treatment as for foreign tax credits for foreign dividends. </w:t>
      </w:r>
      <w:bookmarkEnd w:id="110"/>
    </w:p>
    <w:p w14:paraId="416548F2" w14:textId="77777777" w:rsidR="0098646B" w:rsidRPr="004C639D" w:rsidRDefault="0098646B" w:rsidP="0098646B">
      <w:pPr>
        <w:pStyle w:val="BodyText"/>
        <w:spacing w:line="271" w:lineRule="auto"/>
        <w:ind w:left="492" w:right="153"/>
        <w:jc w:val="both"/>
        <w:rPr>
          <w:rFonts w:ascii="Arial"/>
          <w:i/>
          <w:iCs/>
          <w:lang w:val="en-ZA"/>
        </w:rPr>
      </w:pPr>
    </w:p>
    <w:p w14:paraId="684C0F54" w14:textId="1D04D68F" w:rsidR="0098646B" w:rsidRPr="003F111D" w:rsidRDefault="0098646B" w:rsidP="0098646B">
      <w:pPr>
        <w:pStyle w:val="BodyText"/>
        <w:spacing w:line="271" w:lineRule="auto"/>
        <w:ind w:left="492" w:right="153"/>
        <w:jc w:val="both"/>
        <w:rPr>
          <w:rFonts w:ascii="Arial" w:hAnsi="Arial" w:cs="Arial"/>
          <w:i/>
          <w:sz w:val="22"/>
          <w:szCs w:val="22"/>
          <w:lang w:val="en-ZA"/>
        </w:rPr>
      </w:pPr>
      <w:r w:rsidRPr="003F111D">
        <w:rPr>
          <w:rFonts w:ascii="Arial" w:hAnsi="Arial" w:cs="Arial"/>
          <w:i/>
          <w:sz w:val="22"/>
          <w:szCs w:val="22"/>
          <w:lang w:val="en-ZA"/>
        </w:rPr>
        <w:t xml:space="preserve">Comment: </w:t>
      </w:r>
      <w:r w:rsidRPr="00403DF5">
        <w:rPr>
          <w:rFonts w:ascii="Arial" w:hAnsi="Arial" w:cs="Arial"/>
          <w:iCs/>
          <w:sz w:val="22"/>
          <w:szCs w:val="22"/>
          <w:lang w:val="en-ZA"/>
        </w:rPr>
        <w:t>The Explanatory Memorandum states that the amendment will take effect for foreign tax years ending on or after January 1, 2025. However, the Draft TLAB specifies an effective date of foreign tax years ending on or after December 31, 2024</w:t>
      </w:r>
      <w:r w:rsidR="000D53D3">
        <w:rPr>
          <w:rFonts w:ascii="Arial" w:hAnsi="Arial" w:cs="Arial"/>
          <w:iCs/>
          <w:sz w:val="22"/>
          <w:szCs w:val="22"/>
          <w:lang w:val="en-ZA"/>
        </w:rPr>
        <w:t>.</w:t>
      </w:r>
    </w:p>
    <w:p w14:paraId="48F5017A" w14:textId="77777777" w:rsidR="0098646B" w:rsidRPr="003F111D" w:rsidRDefault="0098646B" w:rsidP="0098646B">
      <w:pPr>
        <w:pStyle w:val="BodyText"/>
        <w:spacing w:line="271" w:lineRule="auto"/>
        <w:ind w:left="831" w:right="152"/>
        <w:jc w:val="both"/>
        <w:rPr>
          <w:rFonts w:ascii="Arial"/>
          <w:i/>
          <w:iCs/>
          <w:lang w:val="en-ZA"/>
        </w:rPr>
      </w:pPr>
    </w:p>
    <w:p w14:paraId="7A4677BD" w14:textId="29800053" w:rsidR="0098646B" w:rsidRPr="003F111D" w:rsidRDefault="0098646B" w:rsidP="0098646B">
      <w:pPr>
        <w:pStyle w:val="BodyText"/>
        <w:spacing w:line="271" w:lineRule="auto"/>
        <w:ind w:left="831" w:right="152"/>
        <w:jc w:val="both"/>
        <w:rPr>
          <w:rFonts w:ascii="Arial" w:hAnsi="Arial" w:cs="Arial"/>
          <w:i/>
          <w:sz w:val="22"/>
          <w:szCs w:val="22"/>
          <w:lang w:val="en-ZA"/>
        </w:rPr>
      </w:pPr>
      <w:r w:rsidRPr="003F111D">
        <w:rPr>
          <w:rFonts w:ascii="Arial" w:hAnsi="Arial" w:cs="Arial"/>
          <w:i/>
          <w:sz w:val="22"/>
          <w:szCs w:val="22"/>
          <w:lang w:val="en-ZA"/>
        </w:rPr>
        <w:t xml:space="preserve">Response: </w:t>
      </w:r>
      <w:r w:rsidRPr="00403DF5">
        <w:rPr>
          <w:rFonts w:ascii="Arial" w:hAnsi="Arial" w:cs="Arial"/>
          <w:iCs/>
          <w:sz w:val="22"/>
          <w:szCs w:val="22"/>
          <w:u w:val="single"/>
          <w:lang w:val="en-ZA"/>
        </w:rPr>
        <w:t>Accepted</w:t>
      </w:r>
      <w:r w:rsidRPr="00403DF5">
        <w:rPr>
          <w:rFonts w:ascii="Arial" w:hAnsi="Arial" w:cs="Arial"/>
          <w:iCs/>
          <w:sz w:val="22"/>
          <w:szCs w:val="22"/>
          <w:lang w:val="en-ZA"/>
        </w:rPr>
        <w:t>. The Explanatory Memorandum effective date will be corrected so that it is aligned with the Draft TLAB’s effective date.</w:t>
      </w:r>
      <w:r w:rsidRPr="003F111D">
        <w:rPr>
          <w:rFonts w:ascii="Arial" w:hAnsi="Arial" w:cs="Arial"/>
          <w:i/>
          <w:sz w:val="22"/>
          <w:szCs w:val="22"/>
          <w:lang w:val="en-ZA"/>
        </w:rPr>
        <w:t xml:space="preserve"> </w:t>
      </w:r>
    </w:p>
    <w:p w14:paraId="1DAE3D8A" w14:textId="788A6A59" w:rsidR="00597932" w:rsidRPr="004C639D" w:rsidRDefault="00597932" w:rsidP="251BE3F0">
      <w:pPr>
        <w:pStyle w:val="BodyText"/>
        <w:spacing w:line="271" w:lineRule="auto"/>
        <w:ind w:left="831" w:right="152"/>
        <w:jc w:val="both"/>
        <w:rPr>
          <w:rFonts w:ascii="Arial"/>
          <w:lang w:val="en-ZA"/>
        </w:rPr>
      </w:pPr>
    </w:p>
    <w:p w14:paraId="6F4A7930" w14:textId="2D2399CA" w:rsidR="005363C2" w:rsidRPr="003F111D" w:rsidRDefault="52AFF64E" w:rsidP="00403DF5">
      <w:pPr>
        <w:pStyle w:val="Heading3"/>
        <w:numPr>
          <w:ilvl w:val="1"/>
          <w:numId w:val="37"/>
        </w:numPr>
        <w:tabs>
          <w:tab w:val="left" w:pos="709"/>
        </w:tabs>
        <w:spacing w:before="0"/>
        <w:ind w:left="993" w:hanging="426"/>
        <w:rPr>
          <w:sz w:val="22"/>
          <w:szCs w:val="22"/>
          <w:lang w:val="en-ZA"/>
        </w:rPr>
      </w:pPr>
      <w:bookmarkStart w:id="111" w:name="_Toc189212127"/>
      <w:r w:rsidRPr="003F111D">
        <w:rPr>
          <w:sz w:val="22"/>
          <w:szCs w:val="22"/>
          <w:lang w:val="en-ZA"/>
        </w:rPr>
        <w:t>Aligning the section 6quat rebate and translation of net income rule for CFCs</w:t>
      </w:r>
      <w:bookmarkEnd w:id="111"/>
    </w:p>
    <w:p w14:paraId="40DF76FF" w14:textId="010B1F75" w:rsidR="00927B1F" w:rsidRDefault="28E2E059" w:rsidP="003F111D">
      <w:pPr>
        <w:pStyle w:val="BodyText"/>
        <w:spacing w:before="158"/>
        <w:ind w:left="555"/>
        <w:jc w:val="both"/>
        <w:rPr>
          <w:rFonts w:ascii="Arial" w:hAnsi="Arial" w:cs="Arial"/>
          <w:sz w:val="22"/>
          <w:szCs w:val="22"/>
          <w:lang w:val="en-ZA"/>
        </w:rPr>
      </w:pPr>
      <w:r w:rsidRPr="003F111D">
        <w:rPr>
          <w:rFonts w:ascii="Arial" w:hAnsi="Arial" w:cs="Arial"/>
          <w:sz w:val="22"/>
          <w:szCs w:val="22"/>
          <w:lang w:val="en-ZA"/>
        </w:rPr>
        <w:t xml:space="preserve">(Main reference: </w:t>
      </w:r>
      <w:r w:rsidR="01721F36" w:rsidRPr="003F111D">
        <w:rPr>
          <w:rFonts w:ascii="Arial" w:hAnsi="Arial" w:cs="Arial"/>
          <w:sz w:val="22"/>
          <w:szCs w:val="22"/>
          <w:lang w:val="en-ZA"/>
        </w:rPr>
        <w:t>Sections 9D</w:t>
      </w:r>
      <w:r w:rsidRPr="003F111D">
        <w:rPr>
          <w:rFonts w:ascii="Arial" w:hAnsi="Arial" w:cs="Arial"/>
          <w:sz w:val="22"/>
          <w:szCs w:val="22"/>
          <w:lang w:val="en-ZA"/>
        </w:rPr>
        <w:t xml:space="preserve"> of the Act: Clause </w:t>
      </w:r>
      <w:r w:rsidR="49303CA7" w:rsidRPr="003F111D">
        <w:rPr>
          <w:rFonts w:ascii="Arial" w:hAnsi="Arial" w:cs="Arial"/>
          <w:sz w:val="22"/>
          <w:szCs w:val="22"/>
          <w:lang w:val="en-ZA"/>
        </w:rPr>
        <w:t>7</w:t>
      </w:r>
      <w:r w:rsidRPr="003F111D">
        <w:rPr>
          <w:rFonts w:ascii="Arial" w:hAnsi="Arial" w:cs="Arial"/>
          <w:sz w:val="22"/>
          <w:szCs w:val="22"/>
          <w:lang w:val="en-ZA"/>
        </w:rPr>
        <w:t xml:space="preserve"> of the Draft TLAB)</w:t>
      </w:r>
    </w:p>
    <w:p w14:paraId="1ADE85E5" w14:textId="77777777" w:rsidR="009D4F16" w:rsidRPr="003F111D" w:rsidRDefault="009D4F16" w:rsidP="003F111D">
      <w:pPr>
        <w:pStyle w:val="BodyText"/>
        <w:spacing w:before="158"/>
        <w:ind w:left="555"/>
        <w:jc w:val="both"/>
        <w:rPr>
          <w:rFonts w:ascii="Arial" w:hAnsi="Arial" w:cs="Arial"/>
          <w:sz w:val="22"/>
          <w:szCs w:val="22"/>
          <w:lang w:val="en-ZA"/>
        </w:rPr>
      </w:pPr>
    </w:p>
    <w:p w14:paraId="1DB7B7C3" w14:textId="46228985" w:rsidR="005D4DA6" w:rsidRDefault="005D4DA6" w:rsidP="009D4F16">
      <w:pPr>
        <w:pStyle w:val="BodyText"/>
        <w:spacing w:line="271" w:lineRule="auto"/>
        <w:ind w:left="831" w:right="152"/>
        <w:jc w:val="both"/>
        <w:rPr>
          <w:rFonts w:ascii="Arial" w:hAnsi="Arial" w:cs="Arial"/>
          <w:iCs/>
          <w:sz w:val="22"/>
          <w:szCs w:val="22"/>
          <w:lang w:val="en-ZA"/>
        </w:rPr>
      </w:pPr>
      <w:r w:rsidRPr="00403DF5">
        <w:rPr>
          <w:rFonts w:ascii="Arial" w:hAnsi="Arial" w:cs="Arial"/>
          <w:iCs/>
          <w:sz w:val="22"/>
          <w:szCs w:val="22"/>
          <w:lang w:val="en-ZA"/>
        </w:rPr>
        <w:t>Foreign taxes payable by a C</w:t>
      </w:r>
      <w:r w:rsidR="002A6510" w:rsidRPr="00403DF5">
        <w:rPr>
          <w:rFonts w:ascii="Arial" w:hAnsi="Arial" w:cs="Arial"/>
          <w:iCs/>
          <w:sz w:val="22"/>
          <w:szCs w:val="22"/>
          <w:lang w:val="en-ZA"/>
        </w:rPr>
        <w:t xml:space="preserve">ontrolled </w:t>
      </w:r>
      <w:r w:rsidRPr="00403DF5">
        <w:rPr>
          <w:rFonts w:ascii="Arial" w:hAnsi="Arial" w:cs="Arial"/>
          <w:iCs/>
          <w:sz w:val="22"/>
          <w:szCs w:val="22"/>
          <w:lang w:val="en-ZA"/>
        </w:rPr>
        <w:t>F</w:t>
      </w:r>
      <w:r w:rsidR="002A6510" w:rsidRPr="00403DF5">
        <w:rPr>
          <w:rFonts w:ascii="Arial" w:hAnsi="Arial" w:cs="Arial"/>
          <w:iCs/>
          <w:sz w:val="22"/>
          <w:szCs w:val="22"/>
          <w:lang w:val="en-ZA"/>
        </w:rPr>
        <w:t xml:space="preserve">oreign </w:t>
      </w:r>
      <w:r w:rsidRPr="00403DF5">
        <w:rPr>
          <w:rFonts w:ascii="Arial" w:hAnsi="Arial" w:cs="Arial"/>
          <w:iCs/>
          <w:sz w:val="22"/>
          <w:szCs w:val="22"/>
          <w:lang w:val="en-ZA"/>
        </w:rPr>
        <w:t>C</w:t>
      </w:r>
      <w:r w:rsidR="002A6510" w:rsidRPr="00403DF5">
        <w:rPr>
          <w:rFonts w:ascii="Arial" w:hAnsi="Arial" w:cs="Arial"/>
          <w:iCs/>
          <w:sz w:val="22"/>
          <w:szCs w:val="22"/>
          <w:lang w:val="en-ZA"/>
        </w:rPr>
        <w:t>ompany (CFC)</w:t>
      </w:r>
      <w:r w:rsidRPr="00403DF5">
        <w:rPr>
          <w:rFonts w:ascii="Arial" w:hAnsi="Arial" w:cs="Arial"/>
          <w:iCs/>
          <w:sz w:val="22"/>
          <w:szCs w:val="22"/>
          <w:lang w:val="en-ZA"/>
        </w:rPr>
        <w:t xml:space="preserve"> must be translated to rand at the average exchange rate for the year of assessment of the resident having an interest in the CFC and for whom an amount of net income of the CFC is included in the income of that resident. </w:t>
      </w:r>
    </w:p>
    <w:p w14:paraId="1E2F8902" w14:textId="77777777" w:rsidR="009D4F16" w:rsidRPr="00403DF5" w:rsidRDefault="009D4F16" w:rsidP="00403DF5">
      <w:pPr>
        <w:pStyle w:val="BodyText"/>
        <w:spacing w:line="271" w:lineRule="auto"/>
        <w:ind w:left="831" w:right="152"/>
        <w:jc w:val="both"/>
        <w:rPr>
          <w:rFonts w:ascii="Arial" w:hAnsi="Arial" w:cs="Arial"/>
          <w:iCs/>
          <w:sz w:val="22"/>
          <w:szCs w:val="22"/>
          <w:lang w:val="en-ZA"/>
        </w:rPr>
      </w:pPr>
    </w:p>
    <w:p w14:paraId="2C116345" w14:textId="77777777" w:rsidR="005D4DA6" w:rsidRPr="00403DF5" w:rsidRDefault="005D4DA6" w:rsidP="00403DF5">
      <w:pPr>
        <w:pStyle w:val="BodyText"/>
        <w:spacing w:line="271" w:lineRule="auto"/>
        <w:ind w:left="831" w:right="152"/>
        <w:jc w:val="both"/>
        <w:rPr>
          <w:rFonts w:ascii="Arial"/>
          <w:sz w:val="22"/>
          <w:szCs w:val="22"/>
          <w:lang w:val="en-ZA"/>
        </w:rPr>
      </w:pPr>
      <w:r w:rsidRPr="00403DF5">
        <w:rPr>
          <w:rFonts w:ascii="Arial"/>
          <w:sz w:val="22"/>
          <w:szCs w:val="22"/>
          <w:lang w:val="en-ZA"/>
        </w:rPr>
        <w:t xml:space="preserve">However, the net income of the CFC must be translated by applying the average exchange rate for the foreign tax year of the CFC. A mismatch arises when the year of assessment of the resident and the foreign tax year of the CFC are </w:t>
      </w:r>
      <w:r w:rsidRPr="00403DF5">
        <w:rPr>
          <w:rFonts w:ascii="Arial" w:hAnsi="Arial" w:cs="Arial"/>
          <w:iCs/>
          <w:sz w:val="22"/>
          <w:szCs w:val="22"/>
          <w:lang w:val="en-ZA"/>
        </w:rPr>
        <w:t>different</w:t>
      </w:r>
      <w:r w:rsidRPr="00403DF5">
        <w:rPr>
          <w:rFonts w:ascii="Arial"/>
          <w:sz w:val="22"/>
          <w:szCs w:val="22"/>
          <w:lang w:val="en-ZA"/>
        </w:rPr>
        <w:t>.</w:t>
      </w:r>
    </w:p>
    <w:p w14:paraId="2EF11F04" w14:textId="34A18129" w:rsidR="50167B31" w:rsidRPr="00403DF5" w:rsidRDefault="005D4DA6" w:rsidP="00403DF5">
      <w:pPr>
        <w:pStyle w:val="BodyText"/>
        <w:spacing w:line="271" w:lineRule="auto"/>
        <w:ind w:left="831" w:right="152"/>
        <w:jc w:val="both"/>
        <w:rPr>
          <w:rFonts w:ascii="Arial"/>
          <w:sz w:val="22"/>
          <w:szCs w:val="22"/>
          <w:lang w:val="en-ZA"/>
        </w:rPr>
      </w:pPr>
      <w:r w:rsidRPr="00403DF5">
        <w:rPr>
          <w:rFonts w:ascii="Arial"/>
          <w:sz w:val="22"/>
          <w:szCs w:val="22"/>
          <w:lang w:val="en-ZA"/>
        </w:rPr>
        <w:t xml:space="preserve">To address this anomaly, it is proposed that the Income Tax Act aligns the years used to translate net income and foreign tax payable by referring to the foreign tax year of the CFC. </w:t>
      </w:r>
    </w:p>
    <w:p w14:paraId="26D4397D" w14:textId="77777777" w:rsidR="005363C2" w:rsidRPr="004C639D" w:rsidRDefault="005363C2" w:rsidP="251BE3F0">
      <w:pPr>
        <w:pStyle w:val="BodyText"/>
        <w:spacing w:line="271" w:lineRule="auto"/>
        <w:ind w:left="492" w:right="153"/>
        <w:jc w:val="both"/>
        <w:rPr>
          <w:rFonts w:ascii="Arial"/>
          <w:i/>
          <w:iCs/>
          <w:lang w:val="en-ZA"/>
        </w:rPr>
      </w:pPr>
      <w:bookmarkStart w:id="112" w:name="_Hlk180351702"/>
    </w:p>
    <w:p w14:paraId="253F343A" w14:textId="6EA4643D" w:rsidR="005363C2" w:rsidRPr="003F111D" w:rsidRDefault="28E2E059" w:rsidP="251BE3F0">
      <w:pPr>
        <w:pStyle w:val="BodyText"/>
        <w:spacing w:line="271" w:lineRule="auto"/>
        <w:ind w:left="492" w:right="153"/>
        <w:jc w:val="both"/>
        <w:rPr>
          <w:rFonts w:ascii="Arial" w:hAnsi="Arial" w:cs="Arial"/>
          <w:i/>
          <w:sz w:val="22"/>
          <w:szCs w:val="22"/>
          <w:lang w:val="en-ZA"/>
        </w:rPr>
      </w:pPr>
      <w:bookmarkStart w:id="113" w:name="_Hlk147815236"/>
      <w:r w:rsidRPr="003F111D">
        <w:rPr>
          <w:rFonts w:ascii="Arial" w:hAnsi="Arial" w:cs="Arial"/>
          <w:i/>
          <w:sz w:val="22"/>
          <w:szCs w:val="22"/>
          <w:lang w:val="en-ZA"/>
        </w:rPr>
        <w:t>Comment:</w:t>
      </w:r>
      <w:r w:rsidR="4363DD1E" w:rsidRPr="003F111D">
        <w:rPr>
          <w:rFonts w:ascii="Arial" w:hAnsi="Arial" w:cs="Arial"/>
          <w:i/>
          <w:sz w:val="22"/>
          <w:szCs w:val="22"/>
          <w:lang w:val="en-ZA"/>
        </w:rPr>
        <w:t xml:space="preserve"> </w:t>
      </w:r>
      <w:r w:rsidR="005D4DA6" w:rsidRPr="00403DF5">
        <w:rPr>
          <w:rFonts w:ascii="Arial"/>
          <w:sz w:val="22"/>
          <w:szCs w:val="22"/>
          <w:lang w:val="en-ZA"/>
        </w:rPr>
        <w:t>The Explanatory Memorandum states that the amendment will take effect for foreign tax years ending on or after January 1, 2025. However, the Draft TLAB specifies an effective date of foreign tax years ending on or after December 31, 2024</w:t>
      </w:r>
      <w:r w:rsidR="004A7EEA">
        <w:rPr>
          <w:rFonts w:ascii="Arial"/>
          <w:sz w:val="22"/>
          <w:szCs w:val="22"/>
          <w:lang w:val="en-ZA"/>
        </w:rPr>
        <w:t>.</w:t>
      </w:r>
    </w:p>
    <w:p w14:paraId="4177D9D0" w14:textId="77777777" w:rsidR="002A6510" w:rsidRPr="003F111D" w:rsidRDefault="002A6510" w:rsidP="002A6510">
      <w:pPr>
        <w:pStyle w:val="BodyText"/>
        <w:spacing w:line="271" w:lineRule="auto"/>
        <w:ind w:left="831" w:right="152"/>
        <w:jc w:val="both"/>
        <w:rPr>
          <w:rFonts w:ascii="Arial"/>
          <w:i/>
          <w:iCs/>
          <w:lang w:val="en-ZA"/>
        </w:rPr>
      </w:pPr>
    </w:p>
    <w:p w14:paraId="692AC810" w14:textId="7483C96A" w:rsidR="002A6510" w:rsidRPr="003F111D" w:rsidRDefault="002A6510" w:rsidP="002A6510">
      <w:pPr>
        <w:pStyle w:val="BodyText"/>
        <w:spacing w:line="271" w:lineRule="auto"/>
        <w:ind w:left="831" w:right="152"/>
        <w:jc w:val="both"/>
        <w:rPr>
          <w:rFonts w:ascii="Arial" w:hAnsi="Arial" w:cs="Arial"/>
          <w:i/>
          <w:sz w:val="22"/>
          <w:szCs w:val="22"/>
          <w:lang w:val="en-ZA"/>
        </w:rPr>
      </w:pPr>
      <w:r w:rsidRPr="003F111D">
        <w:rPr>
          <w:rFonts w:ascii="Arial" w:hAnsi="Arial" w:cs="Arial"/>
          <w:i/>
          <w:sz w:val="22"/>
          <w:szCs w:val="22"/>
          <w:lang w:val="en-ZA"/>
        </w:rPr>
        <w:t xml:space="preserve">Response: </w:t>
      </w:r>
      <w:r w:rsidRPr="00403DF5">
        <w:rPr>
          <w:rFonts w:ascii="Arial"/>
          <w:sz w:val="22"/>
          <w:szCs w:val="22"/>
          <w:u w:val="single"/>
          <w:lang w:val="en-ZA"/>
        </w:rPr>
        <w:t>Accepted</w:t>
      </w:r>
      <w:r w:rsidRPr="00403DF5">
        <w:rPr>
          <w:rFonts w:ascii="Arial"/>
          <w:sz w:val="22"/>
          <w:szCs w:val="22"/>
          <w:lang w:val="en-ZA"/>
        </w:rPr>
        <w:t>. The Explanatory Memorandum effective date will be corrected so that it is aligned with the Draft TLAB</w:t>
      </w:r>
      <w:r w:rsidRPr="00403DF5">
        <w:rPr>
          <w:rFonts w:ascii="Arial"/>
          <w:sz w:val="22"/>
          <w:szCs w:val="22"/>
          <w:lang w:val="en-ZA"/>
        </w:rPr>
        <w:t>’</w:t>
      </w:r>
      <w:r w:rsidRPr="00403DF5">
        <w:rPr>
          <w:rFonts w:ascii="Arial"/>
          <w:sz w:val="22"/>
          <w:szCs w:val="22"/>
          <w:lang w:val="en-ZA"/>
        </w:rPr>
        <w:t>s effective date</w:t>
      </w:r>
      <w:r w:rsidRPr="003F111D">
        <w:rPr>
          <w:rFonts w:ascii="Arial" w:hAnsi="Arial" w:cs="Arial"/>
          <w:i/>
          <w:sz w:val="22"/>
          <w:szCs w:val="22"/>
          <w:lang w:val="en-ZA"/>
        </w:rPr>
        <w:t xml:space="preserve">. </w:t>
      </w:r>
    </w:p>
    <w:bookmarkEnd w:id="112"/>
    <w:p w14:paraId="04C36D31" w14:textId="77777777" w:rsidR="005363C2" w:rsidRPr="004C639D" w:rsidRDefault="005363C2" w:rsidP="251BE3F0">
      <w:pPr>
        <w:pStyle w:val="BodyText"/>
        <w:spacing w:line="271" w:lineRule="auto"/>
        <w:ind w:left="492" w:right="153"/>
        <w:jc w:val="both"/>
        <w:rPr>
          <w:lang w:val="en-ZA"/>
        </w:rPr>
      </w:pPr>
    </w:p>
    <w:bookmarkEnd w:id="113"/>
    <w:p w14:paraId="0E9B940E" w14:textId="13ABB199" w:rsidR="005363C2" w:rsidRPr="003F111D" w:rsidRDefault="28E2E059" w:rsidP="00CA5AED">
      <w:pPr>
        <w:pStyle w:val="BodyText"/>
        <w:spacing w:line="271" w:lineRule="auto"/>
        <w:ind w:left="492" w:right="153"/>
        <w:jc w:val="both"/>
        <w:rPr>
          <w:rFonts w:ascii="Arial" w:hAnsi="Arial" w:cs="Arial"/>
          <w:i/>
          <w:sz w:val="22"/>
          <w:szCs w:val="22"/>
          <w:lang w:val="en-ZA"/>
        </w:rPr>
      </w:pPr>
      <w:r w:rsidRPr="003F111D">
        <w:rPr>
          <w:rFonts w:ascii="Arial" w:hAnsi="Arial" w:cs="Arial"/>
          <w:i/>
          <w:sz w:val="22"/>
          <w:szCs w:val="22"/>
          <w:lang w:val="en-ZA"/>
        </w:rPr>
        <w:t xml:space="preserve">Comment: </w:t>
      </w:r>
      <w:r w:rsidR="002A2E31" w:rsidRPr="00403DF5">
        <w:rPr>
          <w:rFonts w:ascii="Arial"/>
          <w:sz w:val="22"/>
          <w:szCs w:val="22"/>
          <w:lang w:val="en-ZA"/>
        </w:rPr>
        <w:t xml:space="preserve">The proposed amendment to section 6quat(4)(b) does not clarify whether the average rate or spot rate should be used for converting the foreign tax credit to Rand, leading to uncertainty about the appropriate exchange rate for the translation.  It is </w:t>
      </w:r>
      <w:r w:rsidR="7ABE0C10" w:rsidRPr="00403DF5">
        <w:rPr>
          <w:rFonts w:ascii="Arial"/>
          <w:sz w:val="22"/>
          <w:szCs w:val="22"/>
          <w:lang w:val="en-ZA"/>
        </w:rPr>
        <w:t>propose</w:t>
      </w:r>
      <w:r w:rsidR="002A2E31" w:rsidRPr="00403DF5">
        <w:rPr>
          <w:rFonts w:ascii="Arial"/>
          <w:sz w:val="22"/>
          <w:szCs w:val="22"/>
          <w:lang w:val="en-ZA"/>
        </w:rPr>
        <w:t>d</w:t>
      </w:r>
      <w:r w:rsidR="7ABE0C10" w:rsidRPr="00403DF5">
        <w:rPr>
          <w:rFonts w:ascii="Arial"/>
          <w:sz w:val="22"/>
          <w:szCs w:val="22"/>
          <w:lang w:val="en-ZA"/>
        </w:rPr>
        <w:t xml:space="preserve"> that the translation rate be aligned to the translation rate used to translate the CFC income into Rand for purposes of section 9D(6) </w:t>
      </w:r>
      <w:r w:rsidR="002A2E31" w:rsidRPr="00403DF5">
        <w:rPr>
          <w:rFonts w:ascii="Arial"/>
          <w:sz w:val="22"/>
          <w:szCs w:val="22"/>
          <w:lang w:val="en-ZA"/>
        </w:rPr>
        <w:t>of the Act.</w:t>
      </w:r>
      <w:r w:rsidR="002A2E31" w:rsidRPr="003F111D">
        <w:rPr>
          <w:rFonts w:ascii="Arial" w:hAnsi="Arial" w:cs="Arial"/>
          <w:i/>
          <w:sz w:val="22"/>
          <w:szCs w:val="22"/>
          <w:lang w:val="en-ZA"/>
        </w:rPr>
        <w:t xml:space="preserve"> </w:t>
      </w:r>
    </w:p>
    <w:p w14:paraId="2D91CD7A" w14:textId="674C1D23" w:rsidR="558F822E" w:rsidRPr="004C639D" w:rsidRDefault="558F822E" w:rsidP="251BE3F0">
      <w:pPr>
        <w:pStyle w:val="BodyText"/>
        <w:spacing w:line="271" w:lineRule="auto"/>
        <w:ind w:left="492" w:right="153"/>
        <w:jc w:val="both"/>
        <w:rPr>
          <w:rFonts w:ascii="Arial"/>
          <w:i/>
          <w:iCs/>
          <w:lang w:val="en-ZA"/>
        </w:rPr>
      </w:pPr>
    </w:p>
    <w:p w14:paraId="00453831" w14:textId="2DA0D0AA" w:rsidR="005363C2" w:rsidRPr="00403DF5" w:rsidRDefault="28E2E059" w:rsidP="03962D85">
      <w:pPr>
        <w:pStyle w:val="BodyText"/>
        <w:spacing w:line="271" w:lineRule="auto"/>
        <w:ind w:left="831" w:right="152"/>
        <w:jc w:val="both"/>
        <w:rPr>
          <w:rFonts w:ascii="Arial"/>
          <w:sz w:val="22"/>
          <w:szCs w:val="22"/>
          <w:lang w:val="en-ZA"/>
        </w:rPr>
      </w:pPr>
      <w:bookmarkStart w:id="114" w:name="_Hlk180350096"/>
      <w:r w:rsidRPr="003F111D">
        <w:rPr>
          <w:rFonts w:ascii="Arial" w:hAnsi="Arial" w:cs="Arial"/>
          <w:i/>
          <w:sz w:val="22"/>
          <w:szCs w:val="22"/>
          <w:lang w:val="en-ZA"/>
        </w:rPr>
        <w:t xml:space="preserve">Response: </w:t>
      </w:r>
      <w:bookmarkStart w:id="115" w:name="_Hlk147816379"/>
      <w:r w:rsidR="56A5A82A" w:rsidRPr="00403DF5">
        <w:rPr>
          <w:rFonts w:ascii="Arial"/>
          <w:sz w:val="22"/>
          <w:szCs w:val="22"/>
          <w:u w:val="single"/>
          <w:lang w:val="en-ZA"/>
        </w:rPr>
        <w:t>A</w:t>
      </w:r>
      <w:r w:rsidRPr="00403DF5">
        <w:rPr>
          <w:rFonts w:ascii="Arial"/>
          <w:sz w:val="22"/>
          <w:szCs w:val="22"/>
          <w:u w:val="single"/>
          <w:lang w:val="en-ZA"/>
        </w:rPr>
        <w:t>ccepted</w:t>
      </w:r>
      <w:r w:rsidRPr="00403DF5">
        <w:rPr>
          <w:rFonts w:ascii="Arial"/>
          <w:sz w:val="22"/>
          <w:szCs w:val="22"/>
          <w:lang w:val="en-ZA"/>
        </w:rPr>
        <w:t xml:space="preserve">. </w:t>
      </w:r>
      <w:r w:rsidR="359F3E00" w:rsidRPr="00403DF5">
        <w:rPr>
          <w:rFonts w:ascii="Arial"/>
          <w:sz w:val="22"/>
          <w:szCs w:val="22"/>
          <w:lang w:val="en-ZA"/>
        </w:rPr>
        <w:t xml:space="preserve">The average exchange rate for that foreign tax year is to be used to translate. </w:t>
      </w:r>
    </w:p>
    <w:bookmarkEnd w:id="114"/>
    <w:p w14:paraId="4F5C13FE" w14:textId="66793726" w:rsidR="56CBCB12" w:rsidRPr="004C639D" w:rsidRDefault="56CBCB12" w:rsidP="56CBCB12">
      <w:pPr>
        <w:pStyle w:val="BodyText"/>
        <w:spacing w:line="271" w:lineRule="auto"/>
        <w:ind w:left="831" w:right="152"/>
        <w:jc w:val="both"/>
        <w:rPr>
          <w:rFonts w:ascii="Arial"/>
          <w:lang w:val="en-ZA"/>
        </w:rPr>
      </w:pPr>
    </w:p>
    <w:p w14:paraId="223F41F9" w14:textId="6F43E337" w:rsidR="12477762" w:rsidRPr="003F111D" w:rsidRDefault="004E0116" w:rsidP="00403DF5">
      <w:pPr>
        <w:pStyle w:val="Heading3"/>
        <w:numPr>
          <w:ilvl w:val="1"/>
          <w:numId w:val="37"/>
        </w:numPr>
        <w:tabs>
          <w:tab w:val="left" w:pos="709"/>
        </w:tabs>
        <w:spacing w:before="0"/>
        <w:ind w:left="993" w:hanging="426"/>
        <w:rPr>
          <w:sz w:val="22"/>
          <w:szCs w:val="22"/>
          <w:lang w:val="en-ZA"/>
        </w:rPr>
      </w:pPr>
      <w:bookmarkStart w:id="116" w:name="_Toc189212128"/>
      <w:r w:rsidRPr="003F111D">
        <w:rPr>
          <w:sz w:val="22"/>
          <w:szCs w:val="22"/>
          <w:lang w:val="en-ZA"/>
        </w:rPr>
        <w:t>Refining the definition of “exchange item” for determining exchange differences</w:t>
      </w:r>
      <w:bookmarkEnd w:id="116"/>
      <w:r w:rsidR="47B9C418" w:rsidRPr="003F111D">
        <w:rPr>
          <w:sz w:val="22"/>
          <w:szCs w:val="22"/>
          <w:lang w:val="en-ZA"/>
        </w:rPr>
        <w:t xml:space="preserve">  </w:t>
      </w:r>
    </w:p>
    <w:p w14:paraId="5AD18468" w14:textId="16EC09B7" w:rsidR="0E5B981E" w:rsidRPr="003F111D" w:rsidRDefault="496051BA" w:rsidP="003F111D">
      <w:pPr>
        <w:pStyle w:val="BodyText"/>
        <w:spacing w:before="158"/>
        <w:ind w:left="555"/>
        <w:jc w:val="both"/>
        <w:rPr>
          <w:rFonts w:ascii="Arial" w:hAnsi="Arial" w:cs="Arial"/>
          <w:sz w:val="22"/>
          <w:szCs w:val="22"/>
          <w:lang w:val="en-ZA"/>
        </w:rPr>
      </w:pPr>
      <w:r w:rsidRPr="003F111D">
        <w:rPr>
          <w:rFonts w:ascii="Arial" w:hAnsi="Arial" w:cs="Arial"/>
          <w:sz w:val="22"/>
          <w:szCs w:val="22"/>
          <w:lang w:val="en-ZA"/>
        </w:rPr>
        <w:t xml:space="preserve">(Main reference: Section 24I of the Act: Clause </w:t>
      </w:r>
      <w:r w:rsidR="6F157922" w:rsidRPr="003F111D">
        <w:rPr>
          <w:rFonts w:ascii="Arial" w:hAnsi="Arial" w:cs="Arial"/>
          <w:sz w:val="22"/>
          <w:szCs w:val="22"/>
          <w:lang w:val="en-ZA"/>
        </w:rPr>
        <w:t>20</w:t>
      </w:r>
      <w:r w:rsidRPr="003F111D">
        <w:rPr>
          <w:rFonts w:ascii="Arial" w:hAnsi="Arial" w:cs="Arial"/>
          <w:sz w:val="22"/>
          <w:szCs w:val="22"/>
          <w:lang w:val="en-ZA"/>
        </w:rPr>
        <w:t xml:space="preserve"> of the Draft TLAB)</w:t>
      </w:r>
    </w:p>
    <w:p w14:paraId="407C8F84" w14:textId="0C90044F" w:rsidR="6EB3BE44" w:rsidRPr="004C639D" w:rsidRDefault="6EB3BE44" w:rsidP="6EB3BE44">
      <w:pPr>
        <w:pStyle w:val="BodyText"/>
        <w:spacing w:before="1" w:line="271" w:lineRule="auto"/>
        <w:ind w:left="492" w:right="152"/>
        <w:jc w:val="both"/>
        <w:rPr>
          <w:lang w:val="en-ZA"/>
        </w:rPr>
      </w:pPr>
    </w:p>
    <w:p w14:paraId="5EDCE1B5" w14:textId="77777777" w:rsidR="004E0116" w:rsidRPr="003F111D" w:rsidRDefault="004E0116" w:rsidP="00403DF5">
      <w:pPr>
        <w:pStyle w:val="BodyText"/>
        <w:spacing w:line="271" w:lineRule="auto"/>
        <w:ind w:left="831" w:right="152"/>
        <w:jc w:val="both"/>
        <w:rPr>
          <w:rFonts w:ascii="Arial" w:hAnsi="Arial" w:cs="Arial"/>
          <w:iCs/>
          <w:sz w:val="22"/>
          <w:szCs w:val="22"/>
          <w:lang w:val="en-ZA"/>
        </w:rPr>
      </w:pPr>
      <w:r w:rsidRPr="003F111D">
        <w:rPr>
          <w:rFonts w:ascii="Arial" w:hAnsi="Arial" w:cs="Arial"/>
          <w:iCs/>
          <w:sz w:val="22"/>
          <w:szCs w:val="22"/>
          <w:lang w:val="en-ZA"/>
        </w:rPr>
        <w:t>Certain financial arrangements that include preference shares are eroding the tax base due to a mismatch as some elements of the arrangement result in an exchange loss for tax purposes, while gains on the preference shares are not being taken into account for tax purposes.</w:t>
      </w:r>
    </w:p>
    <w:p w14:paraId="3CD85A7E" w14:textId="77777777" w:rsidR="004E0116" w:rsidRPr="003F111D" w:rsidRDefault="004E0116" w:rsidP="004E0116">
      <w:pPr>
        <w:pStyle w:val="BodyText"/>
        <w:spacing w:before="1" w:line="271" w:lineRule="auto"/>
        <w:ind w:left="492" w:right="152"/>
        <w:jc w:val="both"/>
        <w:rPr>
          <w:rFonts w:ascii="Arial" w:hAnsi="Arial" w:cs="Arial"/>
          <w:iCs/>
          <w:sz w:val="22"/>
          <w:szCs w:val="22"/>
          <w:lang w:val="en-ZA"/>
        </w:rPr>
      </w:pPr>
    </w:p>
    <w:p w14:paraId="5C75FE9E" w14:textId="7615CE02" w:rsidR="004E0116" w:rsidRPr="003F111D" w:rsidRDefault="004E0116" w:rsidP="00403DF5">
      <w:pPr>
        <w:pStyle w:val="BodyText"/>
        <w:spacing w:line="271" w:lineRule="auto"/>
        <w:ind w:left="831" w:right="152"/>
        <w:jc w:val="both"/>
        <w:rPr>
          <w:rFonts w:ascii="Arial" w:hAnsi="Arial" w:cs="Arial"/>
          <w:iCs/>
          <w:sz w:val="22"/>
          <w:szCs w:val="22"/>
          <w:lang w:val="en-ZA"/>
        </w:rPr>
      </w:pPr>
      <w:r w:rsidRPr="003F111D">
        <w:rPr>
          <w:rFonts w:ascii="Arial" w:hAnsi="Arial" w:cs="Arial"/>
          <w:iCs/>
          <w:sz w:val="22"/>
          <w:szCs w:val="22"/>
          <w:lang w:val="en-ZA"/>
        </w:rPr>
        <w:t>Government proposes to address the tax leakage associated with these financial arrangements by extending the definition of “exchange item” to include shares that are disclosed as financial assets for purposes of financial reporting in terms of IFRS.</w:t>
      </w:r>
    </w:p>
    <w:p w14:paraId="6627770B" w14:textId="77777777" w:rsidR="002A6510" w:rsidRPr="003F111D" w:rsidRDefault="002A6510" w:rsidP="002A6510">
      <w:pPr>
        <w:pStyle w:val="BodyText"/>
        <w:spacing w:before="1" w:line="271" w:lineRule="auto"/>
        <w:ind w:left="492" w:right="152"/>
        <w:jc w:val="both"/>
        <w:rPr>
          <w:lang w:val="en-ZA"/>
        </w:rPr>
      </w:pPr>
    </w:p>
    <w:p w14:paraId="116FE350" w14:textId="7B3BF883" w:rsidR="002A6510" w:rsidRPr="003F111D" w:rsidRDefault="002A6510" w:rsidP="003F111D">
      <w:pPr>
        <w:pStyle w:val="BodyText"/>
        <w:spacing w:line="271" w:lineRule="auto"/>
        <w:ind w:left="492" w:right="153"/>
        <w:jc w:val="both"/>
        <w:rPr>
          <w:rFonts w:ascii="Arial" w:hAnsi="Arial" w:cs="Arial"/>
          <w:i/>
          <w:sz w:val="22"/>
          <w:szCs w:val="22"/>
          <w:lang w:val="en-ZA"/>
        </w:rPr>
      </w:pPr>
      <w:r w:rsidRPr="003F111D">
        <w:rPr>
          <w:rFonts w:ascii="Arial" w:hAnsi="Arial" w:cs="Arial"/>
          <w:i/>
          <w:sz w:val="22"/>
          <w:szCs w:val="22"/>
          <w:lang w:val="en-ZA"/>
        </w:rPr>
        <w:t xml:space="preserve">Comment: </w:t>
      </w:r>
      <w:r w:rsidRPr="00403DF5">
        <w:rPr>
          <w:rFonts w:ascii="Arial" w:hAnsi="Arial" w:cs="Arial"/>
          <w:iCs/>
          <w:sz w:val="22"/>
          <w:szCs w:val="22"/>
          <w:lang w:val="en-ZA"/>
        </w:rPr>
        <w:t>The definition of “financial asset” in terms of International Accounting Standard 32 includes “any asset that is an equity instrument of another entity” and is not limited to preference shares</w:t>
      </w:r>
      <w:r w:rsidRPr="003F111D">
        <w:rPr>
          <w:rFonts w:ascii="Arial" w:hAnsi="Arial" w:cs="Arial"/>
          <w:i/>
          <w:sz w:val="22"/>
          <w:szCs w:val="22"/>
          <w:lang w:val="en-ZA"/>
        </w:rPr>
        <w:t>.</w:t>
      </w:r>
    </w:p>
    <w:p w14:paraId="0C701D47" w14:textId="77777777" w:rsidR="002A6510" w:rsidRPr="003F111D" w:rsidRDefault="002A6510" w:rsidP="002A6510">
      <w:pPr>
        <w:pStyle w:val="BodyText"/>
        <w:spacing w:line="271" w:lineRule="auto"/>
        <w:ind w:left="831" w:right="152"/>
        <w:jc w:val="both"/>
        <w:rPr>
          <w:rFonts w:ascii="Arial"/>
          <w:i/>
          <w:iCs/>
          <w:lang w:val="en-ZA"/>
        </w:rPr>
      </w:pPr>
    </w:p>
    <w:p w14:paraId="441FDC86" w14:textId="38D47B13" w:rsidR="002A6510" w:rsidRPr="003F111D" w:rsidRDefault="002A6510" w:rsidP="00570703">
      <w:pPr>
        <w:pStyle w:val="BodyText"/>
        <w:spacing w:line="271" w:lineRule="auto"/>
        <w:ind w:left="831" w:right="152"/>
        <w:jc w:val="both"/>
        <w:rPr>
          <w:rFonts w:ascii="Arial" w:hAnsi="Arial" w:cs="Arial"/>
          <w:i/>
          <w:sz w:val="22"/>
          <w:szCs w:val="22"/>
          <w:lang w:val="en-ZA"/>
        </w:rPr>
      </w:pPr>
      <w:r w:rsidRPr="003F111D">
        <w:rPr>
          <w:rFonts w:ascii="Arial" w:hAnsi="Arial" w:cs="Arial"/>
          <w:i/>
          <w:sz w:val="22"/>
          <w:szCs w:val="22"/>
          <w:lang w:val="en-ZA"/>
        </w:rPr>
        <w:t xml:space="preserve">Response: </w:t>
      </w:r>
      <w:r w:rsidRPr="00403DF5">
        <w:rPr>
          <w:rFonts w:ascii="Arial" w:hAnsi="Arial" w:cs="Arial"/>
          <w:iCs/>
          <w:sz w:val="22"/>
          <w:szCs w:val="22"/>
          <w:u w:val="single"/>
          <w:lang w:val="en-ZA"/>
        </w:rPr>
        <w:t>Accepted</w:t>
      </w:r>
      <w:r w:rsidRPr="00403DF5">
        <w:rPr>
          <w:rFonts w:ascii="Arial" w:hAnsi="Arial" w:cs="Arial"/>
          <w:iCs/>
          <w:sz w:val="22"/>
          <w:szCs w:val="22"/>
          <w:lang w:val="en-ZA"/>
        </w:rPr>
        <w:t>.  The reference to International Accounting Standard 32 will be removed.</w:t>
      </w:r>
      <w:r w:rsidRPr="003F111D">
        <w:rPr>
          <w:rFonts w:ascii="Arial" w:hAnsi="Arial" w:cs="Arial"/>
          <w:i/>
          <w:sz w:val="22"/>
          <w:szCs w:val="22"/>
          <w:lang w:val="en-ZA"/>
        </w:rPr>
        <w:t xml:space="preserve"> </w:t>
      </w:r>
    </w:p>
    <w:p w14:paraId="2B78A70E" w14:textId="2847E6F8" w:rsidR="1D8BAFE7" w:rsidRPr="004C639D" w:rsidRDefault="1D8BAFE7" w:rsidP="251BE3F0">
      <w:pPr>
        <w:pStyle w:val="BodyText"/>
        <w:spacing w:line="271" w:lineRule="auto"/>
        <w:ind w:left="492" w:right="152"/>
        <w:jc w:val="both"/>
        <w:rPr>
          <w:rFonts w:asciiTheme="minorHAnsi" w:eastAsiaTheme="minorEastAsia" w:hAnsiTheme="minorHAnsi" w:cstheme="minorBidi"/>
          <w:b/>
          <w:bCs/>
          <w:lang w:val="en-ZA"/>
        </w:rPr>
      </w:pPr>
    </w:p>
    <w:p w14:paraId="6188EE84" w14:textId="1D5F502A" w:rsidR="64FB4E67" w:rsidRPr="003F111D" w:rsidRDefault="54AD90D2" w:rsidP="003F111D">
      <w:pPr>
        <w:pStyle w:val="BodyText"/>
        <w:spacing w:line="271" w:lineRule="auto"/>
        <w:ind w:left="492" w:right="153"/>
        <w:jc w:val="both"/>
        <w:rPr>
          <w:rFonts w:ascii="Arial" w:hAnsi="Arial" w:cs="Arial"/>
          <w:i/>
          <w:sz w:val="22"/>
          <w:szCs w:val="22"/>
          <w:lang w:val="en-ZA"/>
        </w:rPr>
      </w:pPr>
      <w:r w:rsidRPr="003F111D">
        <w:rPr>
          <w:rFonts w:ascii="Arial" w:hAnsi="Arial" w:cs="Arial"/>
          <w:i/>
          <w:sz w:val="22"/>
          <w:szCs w:val="22"/>
          <w:lang w:val="en-ZA"/>
        </w:rPr>
        <w:t>Comment:</w:t>
      </w:r>
      <w:r w:rsidR="004E0116" w:rsidRPr="003F111D">
        <w:rPr>
          <w:rFonts w:ascii="Arial" w:hAnsi="Arial" w:cs="Arial"/>
          <w:i/>
          <w:sz w:val="22"/>
          <w:szCs w:val="22"/>
          <w:lang w:val="en-ZA"/>
        </w:rPr>
        <w:t xml:space="preserve"> </w:t>
      </w:r>
      <w:r w:rsidR="004E0116" w:rsidRPr="00403DF5">
        <w:rPr>
          <w:rFonts w:ascii="Arial" w:hAnsi="Arial" w:cs="Arial"/>
          <w:iCs/>
          <w:sz w:val="22"/>
          <w:szCs w:val="22"/>
          <w:lang w:val="en-ZA"/>
        </w:rPr>
        <w:t>The proposed amendment needs significant refinement to precisely target its intended purpose and avoid unintended consequences. As it stands, the amendment broadens the application of section 24I to include any shares in a foreign company, potentially encompassing more than just preference shares. As a result, shares in a foreign company that represent investments in subsidiaries, associates, and joint ventures might also be classified as exchange items.</w:t>
      </w:r>
      <w:r w:rsidR="004E0116" w:rsidRPr="003F111D">
        <w:rPr>
          <w:rFonts w:ascii="Arial" w:hAnsi="Arial" w:cs="Arial"/>
          <w:i/>
          <w:sz w:val="22"/>
          <w:szCs w:val="22"/>
          <w:lang w:val="en-ZA"/>
        </w:rPr>
        <w:t xml:space="preserve"> </w:t>
      </w:r>
    </w:p>
    <w:p w14:paraId="7AE4C171" w14:textId="77777777" w:rsidR="005D4DA6" w:rsidRPr="003F111D" w:rsidRDefault="005D4DA6" w:rsidP="005D4DA6">
      <w:pPr>
        <w:pStyle w:val="BodyText"/>
        <w:spacing w:line="271" w:lineRule="auto"/>
        <w:ind w:left="831" w:right="152"/>
        <w:jc w:val="both"/>
        <w:rPr>
          <w:rFonts w:ascii="Arial"/>
          <w:i/>
          <w:iCs/>
          <w:lang w:val="en-ZA"/>
        </w:rPr>
      </w:pPr>
    </w:p>
    <w:p w14:paraId="64F4F98A" w14:textId="11B4A7DD" w:rsidR="009D4F16" w:rsidRPr="003F111D" w:rsidRDefault="005D4DA6" w:rsidP="005D4DA6">
      <w:pPr>
        <w:pStyle w:val="BodyText"/>
        <w:spacing w:line="271" w:lineRule="auto"/>
        <w:ind w:left="831" w:right="152"/>
        <w:jc w:val="both"/>
        <w:rPr>
          <w:rFonts w:ascii="Arial" w:hAnsi="Arial" w:cs="Arial"/>
          <w:i/>
          <w:sz w:val="22"/>
          <w:szCs w:val="22"/>
          <w:lang w:val="en-ZA"/>
        </w:rPr>
      </w:pPr>
      <w:r w:rsidRPr="003F111D">
        <w:rPr>
          <w:rFonts w:ascii="Arial" w:hAnsi="Arial" w:cs="Arial"/>
          <w:i/>
          <w:sz w:val="22"/>
          <w:szCs w:val="22"/>
          <w:lang w:val="en-ZA"/>
        </w:rPr>
        <w:t xml:space="preserve">Response: </w:t>
      </w:r>
      <w:r w:rsidRPr="00403DF5">
        <w:rPr>
          <w:rFonts w:ascii="Arial" w:hAnsi="Arial" w:cs="Arial"/>
          <w:iCs/>
          <w:u w:val="single"/>
        </w:rPr>
        <w:t>Accepted</w:t>
      </w:r>
      <w:r w:rsidRPr="00403DF5">
        <w:rPr>
          <w:rFonts w:ascii="Arial" w:hAnsi="Arial" w:cs="Arial"/>
          <w:iCs/>
        </w:rPr>
        <w:t>.</w:t>
      </w:r>
      <w:r w:rsidR="004A7EEA">
        <w:rPr>
          <w:rFonts w:ascii="Arial" w:hAnsi="Arial" w:cs="Arial"/>
          <w:iCs/>
          <w:sz w:val="22"/>
          <w:szCs w:val="22"/>
          <w:lang w:val="en-ZA"/>
        </w:rPr>
        <w:t xml:space="preserve"> </w:t>
      </w:r>
      <w:r w:rsidRPr="00403DF5">
        <w:rPr>
          <w:rFonts w:ascii="Arial" w:hAnsi="Arial" w:cs="Arial"/>
          <w:iCs/>
        </w:rPr>
        <w:t>The proposed wording will be amended to refer to a preference share as defined in section 8EA in a foreign company.</w:t>
      </w:r>
    </w:p>
    <w:p w14:paraId="55CB4BB6" w14:textId="77777777" w:rsidR="005D4DA6" w:rsidRPr="003F111D" w:rsidRDefault="005D4DA6" w:rsidP="00403DF5">
      <w:pPr>
        <w:pStyle w:val="BodyText"/>
        <w:spacing w:line="271" w:lineRule="auto"/>
        <w:ind w:left="831" w:right="152"/>
        <w:jc w:val="both"/>
        <w:rPr>
          <w:rFonts w:ascii="Arial"/>
          <w:i/>
          <w:iCs/>
          <w:lang w:val="en-ZA"/>
        </w:rPr>
      </w:pPr>
    </w:p>
    <w:p w14:paraId="477929A3" w14:textId="1B85A465" w:rsidR="423E5C4F" w:rsidRPr="003F111D" w:rsidRDefault="609C34C0" w:rsidP="00403DF5">
      <w:pPr>
        <w:pStyle w:val="Heading3"/>
        <w:numPr>
          <w:ilvl w:val="1"/>
          <w:numId w:val="37"/>
        </w:numPr>
        <w:tabs>
          <w:tab w:val="left" w:pos="709"/>
        </w:tabs>
        <w:spacing w:before="0"/>
        <w:ind w:left="993" w:hanging="426"/>
        <w:rPr>
          <w:sz w:val="22"/>
          <w:szCs w:val="22"/>
          <w:lang w:val="en-ZA"/>
        </w:rPr>
      </w:pPr>
      <w:r w:rsidRPr="003F111D">
        <w:rPr>
          <w:sz w:val="22"/>
          <w:szCs w:val="22"/>
          <w:lang w:val="en-ZA"/>
        </w:rPr>
        <w:t xml:space="preserve"> </w:t>
      </w:r>
      <w:bookmarkStart w:id="117" w:name="_Toc189212129"/>
      <w:r w:rsidRPr="003F111D">
        <w:rPr>
          <w:sz w:val="22"/>
          <w:szCs w:val="22"/>
          <w:lang w:val="en-ZA"/>
        </w:rPr>
        <w:t>Reviewing the interaction of the set-off of assessed loss rules and rules on exchange differences on foreign excha</w:t>
      </w:r>
      <w:r w:rsidR="7D764C92" w:rsidRPr="003F111D">
        <w:rPr>
          <w:sz w:val="22"/>
          <w:szCs w:val="22"/>
          <w:lang w:val="en-ZA"/>
        </w:rPr>
        <w:t>nge transaction</w:t>
      </w:r>
      <w:bookmarkEnd w:id="117"/>
      <w:r w:rsidRPr="003F111D">
        <w:rPr>
          <w:sz w:val="22"/>
          <w:szCs w:val="22"/>
          <w:lang w:val="en-ZA"/>
        </w:rPr>
        <w:t xml:space="preserve">  </w:t>
      </w:r>
    </w:p>
    <w:p w14:paraId="16AF2D51" w14:textId="4441D8E2" w:rsidR="423E5C4F" w:rsidRPr="003F111D" w:rsidRDefault="609C34C0" w:rsidP="003F111D">
      <w:pPr>
        <w:pStyle w:val="BodyText"/>
        <w:spacing w:before="158"/>
        <w:ind w:left="555"/>
        <w:jc w:val="both"/>
        <w:rPr>
          <w:rFonts w:ascii="Arial" w:hAnsi="Arial" w:cs="Arial"/>
          <w:sz w:val="22"/>
          <w:szCs w:val="22"/>
          <w:lang w:val="en-ZA"/>
        </w:rPr>
      </w:pPr>
      <w:r w:rsidRPr="003F111D">
        <w:rPr>
          <w:rFonts w:ascii="Arial" w:hAnsi="Arial" w:cs="Arial"/>
          <w:sz w:val="22"/>
          <w:szCs w:val="22"/>
          <w:lang w:val="en-ZA"/>
        </w:rPr>
        <w:t>(Main reference: Section 24I of the Act: Clause 20 of the Draft TLAB)</w:t>
      </w:r>
    </w:p>
    <w:p w14:paraId="5295E344" w14:textId="6C74DF4A" w:rsidR="695085FE" w:rsidRPr="004C639D" w:rsidRDefault="695085FE" w:rsidP="695085FE">
      <w:pPr>
        <w:pStyle w:val="BodyText"/>
        <w:spacing w:before="1" w:line="271" w:lineRule="auto"/>
        <w:ind w:left="492" w:right="152"/>
        <w:jc w:val="both"/>
        <w:rPr>
          <w:lang w:val="en-ZA"/>
        </w:rPr>
      </w:pPr>
    </w:p>
    <w:p w14:paraId="73BAF8AC" w14:textId="77777777" w:rsidR="009B139E" w:rsidRPr="003F111D" w:rsidRDefault="009B139E" w:rsidP="00403DF5">
      <w:pPr>
        <w:pStyle w:val="BodyText"/>
        <w:spacing w:line="271" w:lineRule="auto"/>
        <w:ind w:left="831" w:right="152"/>
        <w:jc w:val="both"/>
        <w:rPr>
          <w:rFonts w:ascii="Arial" w:hAnsi="Arial" w:cs="Arial"/>
          <w:iCs/>
          <w:sz w:val="22"/>
          <w:szCs w:val="22"/>
          <w:lang w:val="en-ZA"/>
        </w:rPr>
      </w:pPr>
      <w:r w:rsidRPr="003F111D">
        <w:rPr>
          <w:rFonts w:ascii="Arial" w:hAnsi="Arial" w:cs="Arial"/>
          <w:iCs/>
          <w:sz w:val="22"/>
          <w:szCs w:val="22"/>
          <w:lang w:val="en-ZA"/>
        </w:rPr>
        <w:t xml:space="preserve">When determining taxable income, the Income Tax Act enables taxpayers to set off their balance of assessed losses carried forward from the preceding tax year against their income, provided that the taxpayer continues trading. </w:t>
      </w:r>
    </w:p>
    <w:p w14:paraId="00F59494" w14:textId="77777777" w:rsidR="009B139E" w:rsidRPr="003F111D" w:rsidRDefault="009B139E" w:rsidP="009B139E">
      <w:pPr>
        <w:pStyle w:val="BodyText"/>
        <w:spacing w:before="1" w:line="271" w:lineRule="auto"/>
        <w:ind w:left="492" w:right="152"/>
        <w:jc w:val="both"/>
        <w:rPr>
          <w:rFonts w:ascii="Arial" w:hAnsi="Arial" w:cs="Arial"/>
          <w:iCs/>
          <w:sz w:val="22"/>
          <w:szCs w:val="22"/>
          <w:lang w:val="en-ZA"/>
        </w:rPr>
      </w:pPr>
    </w:p>
    <w:p w14:paraId="66E2E581" w14:textId="449E1E1A" w:rsidR="009B139E" w:rsidRPr="003F111D" w:rsidRDefault="009B139E" w:rsidP="00403DF5">
      <w:pPr>
        <w:pStyle w:val="BodyText"/>
        <w:spacing w:line="271" w:lineRule="auto"/>
        <w:ind w:left="831" w:right="152"/>
        <w:jc w:val="both"/>
        <w:rPr>
          <w:rFonts w:ascii="Arial" w:hAnsi="Arial" w:cs="Arial"/>
          <w:iCs/>
          <w:sz w:val="22"/>
          <w:szCs w:val="22"/>
          <w:lang w:val="en-ZA"/>
        </w:rPr>
      </w:pPr>
      <w:r w:rsidRPr="003F111D">
        <w:rPr>
          <w:rFonts w:ascii="Arial" w:hAnsi="Arial" w:cs="Arial"/>
          <w:iCs/>
          <w:sz w:val="22"/>
          <w:szCs w:val="22"/>
          <w:lang w:val="en-ZA"/>
        </w:rPr>
        <w:t>The interaction between the assessed loss set-off and exchange differences rules mean that a foreign exchange loss on an exchange item may not be set off in future years against gains from the same exchange item if the trading requirement is not met.</w:t>
      </w:r>
    </w:p>
    <w:p w14:paraId="5C051C8B" w14:textId="77777777" w:rsidR="009B139E" w:rsidRPr="003F111D" w:rsidRDefault="009B139E" w:rsidP="009B139E">
      <w:pPr>
        <w:pStyle w:val="BodyText"/>
        <w:spacing w:before="1" w:line="271" w:lineRule="auto"/>
        <w:ind w:left="492" w:right="152"/>
        <w:jc w:val="both"/>
        <w:rPr>
          <w:rFonts w:ascii="Arial" w:hAnsi="Arial" w:cs="Arial"/>
          <w:iCs/>
          <w:sz w:val="22"/>
          <w:szCs w:val="22"/>
          <w:lang w:val="en-ZA"/>
        </w:rPr>
      </w:pPr>
    </w:p>
    <w:p w14:paraId="55506A84" w14:textId="6A1EAE7E" w:rsidR="009B139E" w:rsidRPr="003F111D" w:rsidRDefault="009B139E" w:rsidP="00403DF5">
      <w:pPr>
        <w:pStyle w:val="BodyText"/>
        <w:spacing w:line="271" w:lineRule="auto"/>
        <w:ind w:left="831" w:right="152"/>
        <w:jc w:val="both"/>
        <w:rPr>
          <w:rFonts w:ascii="Arial" w:hAnsi="Arial" w:cs="Arial"/>
          <w:iCs/>
          <w:sz w:val="22"/>
          <w:szCs w:val="22"/>
          <w:lang w:val="en-ZA"/>
        </w:rPr>
      </w:pPr>
      <w:r w:rsidRPr="003F111D">
        <w:rPr>
          <w:rFonts w:ascii="Arial" w:hAnsi="Arial" w:cs="Arial"/>
          <w:iCs/>
          <w:sz w:val="22"/>
          <w:szCs w:val="22"/>
          <w:lang w:val="en-ZA"/>
        </w:rPr>
        <w:t>It is proposed that all foreign exchange losses on exchange items be ringfenced from a future year of assessment and only be allowed against foreign exchange gains.</w:t>
      </w:r>
    </w:p>
    <w:p w14:paraId="6BE3C401" w14:textId="2AD6D60D" w:rsidR="00BE093E" w:rsidRPr="004C639D" w:rsidRDefault="00BE093E" w:rsidP="00860168">
      <w:pPr>
        <w:pStyle w:val="BodyText"/>
        <w:spacing w:before="1" w:line="271" w:lineRule="auto"/>
        <w:ind w:left="492" w:right="152"/>
        <w:jc w:val="both"/>
        <w:rPr>
          <w:lang w:val="en-ZA"/>
        </w:rPr>
      </w:pPr>
    </w:p>
    <w:p w14:paraId="3ABCBCBB" w14:textId="18D981DC" w:rsidR="00BA574F" w:rsidRPr="003F111D" w:rsidRDefault="00BA574F" w:rsidP="00BA574F">
      <w:pPr>
        <w:pStyle w:val="BodyText"/>
        <w:spacing w:line="271" w:lineRule="auto"/>
        <w:ind w:left="492" w:right="153"/>
        <w:jc w:val="both"/>
        <w:rPr>
          <w:rFonts w:ascii="Arial" w:hAnsi="Arial" w:cs="Arial"/>
          <w:i/>
          <w:sz w:val="22"/>
          <w:szCs w:val="22"/>
          <w:lang w:val="en-ZA"/>
        </w:rPr>
      </w:pPr>
      <w:r w:rsidRPr="003F111D">
        <w:rPr>
          <w:rFonts w:ascii="Arial" w:hAnsi="Arial" w:cs="Arial"/>
          <w:i/>
          <w:sz w:val="22"/>
          <w:szCs w:val="22"/>
          <w:lang w:val="en-ZA"/>
        </w:rPr>
        <w:t xml:space="preserve">Comment: </w:t>
      </w:r>
      <w:r w:rsidR="00DF00F3" w:rsidRPr="00403DF5">
        <w:rPr>
          <w:rFonts w:ascii="Arial" w:hAnsi="Arial" w:cs="Arial"/>
          <w:iCs/>
          <w:sz w:val="22"/>
          <w:szCs w:val="22"/>
          <w:lang w:val="en-ZA"/>
        </w:rPr>
        <w:t xml:space="preserve">We suggest introducing a separate provision specifically for companies not engaged in trade, rather than amending the entire charging provision, which would impact all companies. </w:t>
      </w:r>
    </w:p>
    <w:p w14:paraId="75A12507" w14:textId="77777777" w:rsidR="00BA574F" w:rsidRPr="004C639D" w:rsidRDefault="00BA574F" w:rsidP="00BA574F">
      <w:pPr>
        <w:pStyle w:val="BodyText"/>
        <w:spacing w:line="271" w:lineRule="auto"/>
        <w:ind w:left="492" w:right="153"/>
        <w:jc w:val="both"/>
        <w:rPr>
          <w:lang w:val="en-ZA"/>
        </w:rPr>
      </w:pPr>
    </w:p>
    <w:p w14:paraId="2BF8E32F" w14:textId="014AE919" w:rsidR="695085FE" w:rsidRPr="00403DF5" w:rsidRDefault="00BA574F" w:rsidP="00DF00F3">
      <w:pPr>
        <w:pStyle w:val="BodyText"/>
        <w:spacing w:line="271" w:lineRule="auto"/>
        <w:ind w:left="831" w:right="152"/>
        <w:jc w:val="both"/>
        <w:rPr>
          <w:rFonts w:ascii="Arial" w:hAnsi="Arial" w:cs="Arial"/>
          <w:iCs/>
          <w:sz w:val="22"/>
          <w:szCs w:val="22"/>
          <w:lang w:val="en-ZA"/>
        </w:rPr>
      </w:pPr>
      <w:r w:rsidRPr="003F111D">
        <w:rPr>
          <w:rFonts w:ascii="Arial" w:hAnsi="Arial" w:cs="Arial"/>
          <w:i/>
          <w:sz w:val="22"/>
          <w:szCs w:val="22"/>
          <w:lang w:val="en-ZA"/>
        </w:rPr>
        <w:t xml:space="preserve">Response: </w:t>
      </w:r>
      <w:r w:rsidR="00DF00F3" w:rsidRPr="00403DF5">
        <w:rPr>
          <w:rFonts w:ascii="Arial" w:hAnsi="Arial" w:cs="Arial"/>
          <w:iCs/>
          <w:sz w:val="22"/>
          <w:szCs w:val="22"/>
          <w:u w:val="single"/>
          <w:lang w:val="en-ZA"/>
        </w:rPr>
        <w:t>Accepted</w:t>
      </w:r>
      <w:r w:rsidRPr="00403DF5">
        <w:rPr>
          <w:rFonts w:ascii="Arial" w:hAnsi="Arial" w:cs="Arial"/>
          <w:iCs/>
          <w:sz w:val="22"/>
          <w:szCs w:val="22"/>
          <w:lang w:val="en-ZA"/>
        </w:rPr>
        <w:t xml:space="preserve">. </w:t>
      </w:r>
      <w:r w:rsidR="00DF00F3" w:rsidRPr="00403DF5">
        <w:rPr>
          <w:rFonts w:ascii="Arial" w:hAnsi="Arial" w:cs="Arial"/>
          <w:iCs/>
          <w:sz w:val="22"/>
          <w:szCs w:val="22"/>
          <w:lang w:val="en-ZA"/>
        </w:rPr>
        <w:t xml:space="preserve">A separate section dealing with companies not trading will created. </w:t>
      </w:r>
    </w:p>
    <w:p w14:paraId="487C0592" w14:textId="77777777" w:rsidR="00DF00F3" w:rsidRPr="004C639D" w:rsidRDefault="00DF00F3" w:rsidP="00DF00F3">
      <w:pPr>
        <w:pStyle w:val="BodyText"/>
        <w:spacing w:line="271" w:lineRule="auto"/>
        <w:ind w:left="831" w:right="152"/>
        <w:jc w:val="both"/>
        <w:rPr>
          <w:rFonts w:asciiTheme="minorHAnsi" w:eastAsiaTheme="minorEastAsia" w:hAnsiTheme="minorHAnsi" w:cstheme="minorBidi"/>
          <w:b/>
          <w:bCs/>
          <w:lang w:val="en-ZA"/>
        </w:rPr>
      </w:pPr>
    </w:p>
    <w:p w14:paraId="4A75E0E4" w14:textId="3F749B16" w:rsidR="00DF00F3" w:rsidRPr="003F111D" w:rsidRDefault="00DF00F3" w:rsidP="00DF00F3">
      <w:pPr>
        <w:pStyle w:val="BodyText"/>
        <w:spacing w:line="271" w:lineRule="auto"/>
        <w:ind w:left="492" w:right="153"/>
        <w:jc w:val="both"/>
        <w:rPr>
          <w:rFonts w:ascii="Arial" w:hAnsi="Arial" w:cs="Arial"/>
          <w:i/>
          <w:sz w:val="22"/>
          <w:szCs w:val="22"/>
          <w:lang w:val="en-ZA"/>
        </w:rPr>
      </w:pPr>
      <w:r w:rsidRPr="003F111D">
        <w:rPr>
          <w:rFonts w:ascii="Arial" w:hAnsi="Arial" w:cs="Arial"/>
          <w:i/>
          <w:sz w:val="22"/>
          <w:szCs w:val="22"/>
          <w:lang w:val="en-ZA"/>
        </w:rPr>
        <w:t xml:space="preserve">Comment: </w:t>
      </w:r>
      <w:r w:rsidRPr="00403DF5">
        <w:rPr>
          <w:rFonts w:ascii="Arial" w:hAnsi="Arial" w:cs="Arial"/>
          <w:iCs/>
          <w:sz w:val="22"/>
          <w:szCs w:val="22"/>
          <w:lang w:val="en-ZA"/>
        </w:rPr>
        <w:t>To achieve the objective of the proposed amendment, it is proposed that the proposed amendment should only apply to foreign exchange losses where the relevant taxpayer is not trading.</w:t>
      </w:r>
    </w:p>
    <w:p w14:paraId="27415B9A" w14:textId="77777777" w:rsidR="00DF00F3" w:rsidRPr="004C639D" w:rsidRDefault="00DF00F3" w:rsidP="00DF00F3">
      <w:pPr>
        <w:pStyle w:val="BodyText"/>
        <w:spacing w:line="271" w:lineRule="auto"/>
        <w:ind w:left="492" w:right="153"/>
        <w:jc w:val="both"/>
        <w:rPr>
          <w:lang w:val="en-ZA"/>
        </w:rPr>
      </w:pPr>
    </w:p>
    <w:p w14:paraId="1163F572" w14:textId="7C490254" w:rsidR="00DF00F3" w:rsidRPr="00403DF5" w:rsidRDefault="00DF00F3" w:rsidP="00DF00F3">
      <w:pPr>
        <w:pStyle w:val="BodyText"/>
        <w:spacing w:line="271" w:lineRule="auto"/>
        <w:ind w:left="831" w:right="152"/>
        <w:jc w:val="both"/>
        <w:rPr>
          <w:rFonts w:ascii="Arial" w:hAnsi="Arial" w:cs="Arial"/>
          <w:iCs/>
          <w:sz w:val="22"/>
          <w:szCs w:val="22"/>
          <w:lang w:val="en-ZA"/>
        </w:rPr>
      </w:pPr>
      <w:r w:rsidRPr="003F111D">
        <w:rPr>
          <w:rFonts w:ascii="Arial" w:hAnsi="Arial" w:cs="Arial"/>
          <w:i/>
          <w:sz w:val="22"/>
          <w:szCs w:val="22"/>
          <w:lang w:val="en-ZA"/>
        </w:rPr>
        <w:t xml:space="preserve">Response: </w:t>
      </w:r>
      <w:r w:rsidRPr="00403DF5">
        <w:rPr>
          <w:rFonts w:ascii="Arial" w:hAnsi="Arial" w:cs="Arial"/>
          <w:iCs/>
          <w:sz w:val="22"/>
          <w:szCs w:val="22"/>
          <w:u w:val="single"/>
          <w:lang w:val="en-ZA"/>
        </w:rPr>
        <w:t>Partially accepted</w:t>
      </w:r>
      <w:r w:rsidRPr="00403DF5">
        <w:rPr>
          <w:rFonts w:ascii="Arial" w:hAnsi="Arial" w:cs="Arial"/>
          <w:iCs/>
          <w:sz w:val="22"/>
          <w:szCs w:val="22"/>
          <w:lang w:val="en-ZA"/>
        </w:rPr>
        <w:t xml:space="preserve">. The proposed amendment will be reworded to cater for this instance. </w:t>
      </w:r>
    </w:p>
    <w:p w14:paraId="346CFDDB" w14:textId="77777777" w:rsidR="00DF00F3" w:rsidRPr="003F111D" w:rsidRDefault="00DF00F3" w:rsidP="00DF00F3">
      <w:pPr>
        <w:pStyle w:val="BodyText"/>
        <w:spacing w:line="271" w:lineRule="auto"/>
        <w:ind w:left="831" w:right="152"/>
        <w:jc w:val="both"/>
        <w:rPr>
          <w:rFonts w:ascii="Arial"/>
          <w:lang w:val="en-ZA"/>
        </w:rPr>
      </w:pPr>
    </w:p>
    <w:p w14:paraId="719ECF92" w14:textId="042AEC1D" w:rsidR="0075697B" w:rsidRPr="003F111D" w:rsidRDefault="0075697B" w:rsidP="003F111D">
      <w:pPr>
        <w:pStyle w:val="BodyText"/>
        <w:spacing w:line="271" w:lineRule="auto"/>
        <w:ind w:left="492" w:right="153"/>
        <w:jc w:val="both"/>
        <w:rPr>
          <w:rFonts w:ascii="Arial" w:hAnsi="Arial" w:cs="Arial"/>
          <w:i/>
          <w:sz w:val="22"/>
          <w:szCs w:val="22"/>
          <w:lang w:val="en-ZA"/>
        </w:rPr>
      </w:pPr>
      <w:r w:rsidRPr="003F111D">
        <w:rPr>
          <w:rFonts w:ascii="Arial" w:hAnsi="Arial" w:cs="Arial"/>
          <w:i/>
          <w:sz w:val="22"/>
          <w:szCs w:val="22"/>
          <w:lang w:val="en-ZA"/>
        </w:rPr>
        <w:t xml:space="preserve">Comment: </w:t>
      </w:r>
      <w:r w:rsidRPr="00403DF5">
        <w:rPr>
          <w:rFonts w:ascii="Arial" w:hAnsi="Arial" w:cs="Arial"/>
          <w:iCs/>
          <w:sz w:val="22"/>
          <w:szCs w:val="22"/>
          <w:lang w:val="en-ZA"/>
        </w:rPr>
        <w:t>Clarification be provided in section 20 of the Income Tax Act for companies that are not trading to be able to carry forward their net foreign exchange against net foreign exchange gains in subsequent years</w:t>
      </w:r>
      <w:r w:rsidR="00291089">
        <w:rPr>
          <w:rFonts w:ascii="Arial" w:hAnsi="Arial" w:cs="Arial"/>
          <w:iCs/>
          <w:sz w:val="22"/>
          <w:szCs w:val="22"/>
          <w:lang w:val="en-ZA"/>
        </w:rPr>
        <w:t>.</w:t>
      </w:r>
    </w:p>
    <w:p w14:paraId="748E070D" w14:textId="77777777" w:rsidR="0075697B" w:rsidRPr="003F111D" w:rsidRDefault="0075697B" w:rsidP="0075697B">
      <w:pPr>
        <w:pStyle w:val="BodyText"/>
        <w:spacing w:line="271" w:lineRule="auto"/>
        <w:ind w:left="831" w:right="152"/>
        <w:jc w:val="both"/>
        <w:rPr>
          <w:rFonts w:ascii="Arial"/>
          <w:i/>
          <w:iCs/>
          <w:lang w:val="en-ZA"/>
        </w:rPr>
      </w:pPr>
    </w:p>
    <w:p w14:paraId="07B17709" w14:textId="62BE9497" w:rsidR="0075697B" w:rsidRPr="003F111D" w:rsidRDefault="0075697B" w:rsidP="0075697B">
      <w:pPr>
        <w:pStyle w:val="BodyText"/>
        <w:spacing w:line="271" w:lineRule="auto"/>
        <w:ind w:left="831" w:right="152"/>
        <w:jc w:val="both"/>
        <w:rPr>
          <w:rFonts w:ascii="Arial" w:hAnsi="Arial" w:cs="Arial"/>
          <w:i/>
          <w:sz w:val="22"/>
          <w:szCs w:val="22"/>
          <w:lang w:val="en-ZA"/>
        </w:rPr>
      </w:pPr>
      <w:r w:rsidRPr="003F111D">
        <w:rPr>
          <w:rFonts w:ascii="Arial" w:hAnsi="Arial" w:cs="Arial"/>
          <w:i/>
          <w:sz w:val="22"/>
          <w:szCs w:val="22"/>
          <w:lang w:val="en-ZA"/>
        </w:rPr>
        <w:t xml:space="preserve">Response: </w:t>
      </w:r>
      <w:r w:rsidRPr="00403DF5">
        <w:rPr>
          <w:rFonts w:ascii="Arial" w:hAnsi="Arial" w:cs="Arial"/>
          <w:iCs/>
          <w:sz w:val="22"/>
          <w:szCs w:val="22"/>
          <w:u w:val="single"/>
          <w:lang w:val="en-ZA"/>
        </w:rPr>
        <w:t>Not accepted</w:t>
      </w:r>
      <w:r w:rsidRPr="00403DF5">
        <w:rPr>
          <w:rFonts w:ascii="Arial" w:hAnsi="Arial" w:cs="Arial"/>
          <w:iCs/>
          <w:sz w:val="22"/>
          <w:szCs w:val="22"/>
          <w:lang w:val="en-ZA"/>
        </w:rPr>
        <w:t>.  This will be a significant shift to the policy objective of section 20 and thus not accepted.</w:t>
      </w:r>
      <w:r w:rsidRPr="003F111D">
        <w:rPr>
          <w:rFonts w:ascii="Arial" w:hAnsi="Arial" w:cs="Arial"/>
          <w:i/>
          <w:sz w:val="22"/>
          <w:szCs w:val="22"/>
          <w:lang w:val="en-ZA"/>
        </w:rPr>
        <w:t xml:space="preserve">  </w:t>
      </w:r>
    </w:p>
    <w:p w14:paraId="07C47D23" w14:textId="5E885C3C" w:rsidR="695085FE" w:rsidRPr="004C639D" w:rsidRDefault="695085FE" w:rsidP="695085FE">
      <w:pPr>
        <w:pStyle w:val="BodyText"/>
        <w:spacing w:line="271" w:lineRule="auto"/>
        <w:ind w:left="492" w:right="152"/>
        <w:jc w:val="both"/>
        <w:rPr>
          <w:rFonts w:ascii="Arial"/>
          <w:lang w:val="en-ZA"/>
        </w:rPr>
      </w:pPr>
    </w:p>
    <w:p w14:paraId="09820146" w14:textId="40CFEAE4" w:rsidR="00DA13EA" w:rsidRPr="003F111D" w:rsidRDefault="00DA13EA" w:rsidP="003F111D">
      <w:pPr>
        <w:pStyle w:val="BodyText"/>
        <w:spacing w:line="271" w:lineRule="auto"/>
        <w:ind w:left="492" w:right="153"/>
        <w:jc w:val="both"/>
        <w:rPr>
          <w:rFonts w:ascii="Arial" w:hAnsi="Arial" w:cs="Arial"/>
          <w:i/>
          <w:sz w:val="22"/>
          <w:szCs w:val="22"/>
          <w:lang w:val="en-ZA"/>
        </w:rPr>
      </w:pPr>
      <w:r w:rsidRPr="003F111D">
        <w:rPr>
          <w:rFonts w:ascii="Arial" w:hAnsi="Arial" w:cs="Arial"/>
          <w:i/>
          <w:sz w:val="22"/>
          <w:szCs w:val="22"/>
          <w:lang w:val="en-ZA"/>
        </w:rPr>
        <w:t xml:space="preserve">Comment: </w:t>
      </w:r>
      <w:r w:rsidRPr="00403DF5">
        <w:rPr>
          <w:rFonts w:ascii="Arial" w:hAnsi="Arial" w:cs="Arial"/>
          <w:iCs/>
          <w:sz w:val="22"/>
          <w:szCs w:val="22"/>
          <w:lang w:val="en-ZA"/>
        </w:rPr>
        <w:t>We suggest that taxpayers be allowed to choose, within a given assessment year, to either carry forward the net foreign exchange loss (if the overall result of all foreign exchange gains and losses is a net loss) to the next assessment year, where it would be considered an exchange loss for that year, or to deduct the net exchange loss in the year it occurs</w:t>
      </w:r>
      <w:r w:rsidRPr="003F111D">
        <w:rPr>
          <w:rFonts w:ascii="Arial" w:hAnsi="Arial" w:cs="Arial"/>
          <w:i/>
          <w:sz w:val="22"/>
          <w:szCs w:val="22"/>
          <w:lang w:val="en-ZA"/>
        </w:rPr>
        <w:t xml:space="preserve">. </w:t>
      </w:r>
    </w:p>
    <w:p w14:paraId="6A78ABDB" w14:textId="77777777" w:rsidR="00DA13EA" w:rsidRPr="003F111D" w:rsidRDefault="00DA13EA" w:rsidP="00DA13EA">
      <w:pPr>
        <w:pStyle w:val="BodyText"/>
        <w:spacing w:line="271" w:lineRule="auto"/>
        <w:ind w:left="831" w:right="152"/>
        <w:jc w:val="both"/>
        <w:rPr>
          <w:rFonts w:ascii="Arial"/>
          <w:i/>
          <w:iCs/>
          <w:lang w:val="en-ZA"/>
        </w:rPr>
      </w:pPr>
    </w:p>
    <w:p w14:paraId="53C5002B" w14:textId="12B5928D" w:rsidR="00DA13EA" w:rsidRPr="004C639D" w:rsidRDefault="00DA13EA" w:rsidP="003F111D">
      <w:pPr>
        <w:pStyle w:val="BodyText"/>
        <w:spacing w:line="271" w:lineRule="auto"/>
        <w:ind w:left="831" w:right="152"/>
        <w:jc w:val="both"/>
        <w:rPr>
          <w:rFonts w:ascii="Arial"/>
          <w:lang w:val="en-ZA"/>
        </w:rPr>
      </w:pPr>
      <w:r w:rsidRPr="003F111D">
        <w:rPr>
          <w:rFonts w:ascii="Arial" w:hAnsi="Arial" w:cs="Arial"/>
          <w:i/>
          <w:sz w:val="22"/>
          <w:szCs w:val="22"/>
          <w:lang w:val="en-ZA"/>
        </w:rPr>
        <w:t xml:space="preserve">Response: </w:t>
      </w:r>
      <w:r w:rsidRPr="00403DF5">
        <w:rPr>
          <w:rFonts w:ascii="Arial" w:hAnsi="Arial" w:cs="Arial"/>
          <w:iCs/>
          <w:sz w:val="22"/>
          <w:szCs w:val="22"/>
          <w:u w:val="single"/>
          <w:lang w:val="en-ZA"/>
        </w:rPr>
        <w:t>Partially accepted</w:t>
      </w:r>
      <w:r w:rsidRPr="00403DF5">
        <w:rPr>
          <w:rFonts w:ascii="Arial" w:hAnsi="Arial" w:cs="Arial"/>
          <w:iCs/>
          <w:sz w:val="22"/>
          <w:szCs w:val="22"/>
          <w:lang w:val="en-ZA"/>
        </w:rPr>
        <w:t xml:space="preserve">. If the total amount of foreign exchange losses, premiums, or similar payments made under foreign currency option contracts exceeds the total amount of foreign exchange gains and premiums or similar receipts from such contracts, the net excess is considered an exchange loss for the company in the following year. </w:t>
      </w:r>
    </w:p>
    <w:p w14:paraId="214F10A2" w14:textId="77777777" w:rsidR="00375F5E" w:rsidRPr="004C639D" w:rsidRDefault="454DE0F2" w:rsidP="00F027A2">
      <w:pPr>
        <w:pStyle w:val="1Section"/>
        <w:numPr>
          <w:ilvl w:val="0"/>
          <w:numId w:val="37"/>
        </w:numPr>
        <w:spacing w:line="276" w:lineRule="auto"/>
        <w:ind w:left="450" w:hanging="360"/>
      </w:pPr>
      <w:bookmarkStart w:id="118" w:name="_TOC_250015"/>
      <w:bookmarkStart w:id="119" w:name="_Toc859457937"/>
      <w:bookmarkStart w:id="120" w:name="_Toc189212130"/>
      <w:bookmarkEnd w:id="115"/>
      <w:r w:rsidRPr="004C639D">
        <w:t xml:space="preserve">VALUE-ADDED </w:t>
      </w:r>
      <w:bookmarkEnd w:id="118"/>
      <w:r w:rsidRPr="004C639D">
        <w:t>TAX</w:t>
      </w:r>
      <w:bookmarkEnd w:id="119"/>
      <w:bookmarkEnd w:id="120"/>
    </w:p>
    <w:p w14:paraId="713DD411" w14:textId="77777777" w:rsidR="00375F5E" w:rsidRPr="004C639D" w:rsidRDefault="00375F5E" w:rsidP="251BE3F0">
      <w:pPr>
        <w:pStyle w:val="BodyText"/>
        <w:rPr>
          <w:rFonts w:ascii="Arial"/>
          <w:b/>
          <w:bCs/>
          <w:sz w:val="24"/>
          <w:szCs w:val="24"/>
          <w:lang w:val="en-ZA"/>
        </w:rPr>
      </w:pPr>
    </w:p>
    <w:p w14:paraId="0BBCA988" w14:textId="723386BA" w:rsidR="00C623A5" w:rsidRPr="004C639D" w:rsidRDefault="679658E2" w:rsidP="003F111D">
      <w:pPr>
        <w:pStyle w:val="Heading3"/>
        <w:numPr>
          <w:ilvl w:val="1"/>
          <w:numId w:val="37"/>
        </w:numPr>
        <w:tabs>
          <w:tab w:val="left" w:pos="961"/>
          <w:tab w:val="left" w:pos="1134"/>
        </w:tabs>
        <w:spacing w:before="0"/>
        <w:rPr>
          <w:lang w:val="en-ZA"/>
        </w:rPr>
      </w:pPr>
      <w:bookmarkStart w:id="121" w:name="_Toc1970040612"/>
      <w:bookmarkStart w:id="122" w:name="_TOC_250014"/>
      <w:bookmarkStart w:id="123" w:name="_Toc189212131"/>
      <w:r w:rsidRPr="003F111D">
        <w:rPr>
          <w:sz w:val="22"/>
          <w:szCs w:val="22"/>
          <w:lang w:val="en-ZA"/>
        </w:rPr>
        <w:t xml:space="preserve">Reviewing </w:t>
      </w:r>
      <w:bookmarkStart w:id="124" w:name="_Toc147981026"/>
      <w:bookmarkEnd w:id="121"/>
      <w:bookmarkEnd w:id="122"/>
      <w:r w:rsidR="00C623A5" w:rsidRPr="003F111D">
        <w:rPr>
          <w:sz w:val="22"/>
          <w:szCs w:val="22"/>
          <w:lang w:val="en-ZA"/>
        </w:rPr>
        <w:t>the Foreign Donor Funded Project (FDFP) regime</w:t>
      </w:r>
      <w:bookmarkEnd w:id="123"/>
      <w:r w:rsidR="00C623A5" w:rsidRPr="003F111D">
        <w:rPr>
          <w:sz w:val="22"/>
          <w:szCs w:val="22"/>
          <w:lang w:val="en-ZA"/>
        </w:rPr>
        <w:t xml:space="preserve"> </w:t>
      </w:r>
      <w:bookmarkEnd w:id="124"/>
    </w:p>
    <w:p w14:paraId="5FC07B27" w14:textId="77777777" w:rsidR="00C623A5" w:rsidRPr="003F111D" w:rsidRDefault="00C623A5" w:rsidP="00C623A5">
      <w:pPr>
        <w:pStyle w:val="BodyText"/>
        <w:spacing w:before="158"/>
        <w:ind w:left="555"/>
        <w:jc w:val="both"/>
        <w:rPr>
          <w:rFonts w:ascii="Arial" w:hAnsi="Arial" w:cs="Arial"/>
          <w:sz w:val="22"/>
          <w:szCs w:val="22"/>
          <w:lang w:val="en-ZA"/>
        </w:rPr>
      </w:pPr>
      <w:r w:rsidRPr="003F111D">
        <w:rPr>
          <w:rFonts w:ascii="Arial" w:hAnsi="Arial" w:cs="Arial"/>
          <w:sz w:val="22"/>
          <w:szCs w:val="22"/>
          <w:lang w:val="en-ZA"/>
        </w:rPr>
        <w:t>(Main reference: Section 50 of the VAT Act: Clause 50 of the Draft TLAB)</w:t>
      </w:r>
    </w:p>
    <w:p w14:paraId="76418292" w14:textId="77777777" w:rsidR="00C623A5" w:rsidRPr="003F111D" w:rsidRDefault="00C623A5" w:rsidP="00C623A5">
      <w:pPr>
        <w:pStyle w:val="BodyText"/>
        <w:spacing w:before="1" w:line="271" w:lineRule="auto"/>
        <w:ind w:right="152"/>
        <w:jc w:val="both"/>
        <w:rPr>
          <w:lang w:val="en-ZA"/>
        </w:rPr>
      </w:pPr>
      <w:r w:rsidRPr="003F111D">
        <w:rPr>
          <w:lang w:val="en-ZA"/>
        </w:rPr>
        <w:t> </w:t>
      </w:r>
    </w:p>
    <w:p w14:paraId="4A3B2176" w14:textId="77777777" w:rsidR="00C623A5" w:rsidRPr="009D4F16" w:rsidRDefault="00C623A5" w:rsidP="00403DF5">
      <w:pPr>
        <w:pStyle w:val="BodyText"/>
        <w:spacing w:line="271" w:lineRule="auto"/>
        <w:ind w:left="831" w:right="152"/>
        <w:jc w:val="both"/>
        <w:rPr>
          <w:rFonts w:ascii="Arial" w:hAnsi="Arial" w:cs="Arial"/>
          <w:iCs/>
          <w:sz w:val="22"/>
          <w:szCs w:val="22"/>
          <w:lang w:val="en-ZA"/>
        </w:rPr>
      </w:pPr>
      <w:r w:rsidRPr="009D4F16">
        <w:rPr>
          <w:rFonts w:ascii="Arial" w:hAnsi="Arial" w:cs="Arial"/>
          <w:iCs/>
          <w:sz w:val="22"/>
          <w:szCs w:val="22"/>
          <w:lang w:val="en-ZA"/>
        </w:rPr>
        <w:t xml:space="preserve">Effective from 1 April 2020, each FDFP is regarded as a separate enterprise and should be registered as a separate branch of the implementing agency’s own VAT registration in terms of section 50(2A) of the VAT Act. </w:t>
      </w:r>
    </w:p>
    <w:p w14:paraId="597F809C" w14:textId="77777777" w:rsidR="00C623A5" w:rsidRPr="003F111D" w:rsidRDefault="00C623A5" w:rsidP="00C623A5">
      <w:pPr>
        <w:pStyle w:val="BodyText"/>
        <w:spacing w:before="1" w:line="271" w:lineRule="auto"/>
        <w:ind w:left="492" w:right="152"/>
        <w:jc w:val="both"/>
        <w:rPr>
          <w:rFonts w:ascii="Arial" w:hAnsi="Arial" w:cs="Arial"/>
          <w:sz w:val="22"/>
          <w:szCs w:val="22"/>
          <w:lang w:val="en-ZA"/>
        </w:rPr>
      </w:pPr>
    </w:p>
    <w:p w14:paraId="0B75CB39" w14:textId="77777777" w:rsidR="00C623A5" w:rsidRPr="009D4F16" w:rsidRDefault="00C623A5" w:rsidP="00403DF5">
      <w:pPr>
        <w:pStyle w:val="BodyText"/>
        <w:spacing w:line="271" w:lineRule="auto"/>
        <w:ind w:left="831" w:right="152"/>
        <w:jc w:val="both"/>
        <w:rPr>
          <w:rFonts w:ascii="Arial" w:hAnsi="Arial" w:cs="Arial"/>
          <w:iCs/>
          <w:sz w:val="22"/>
          <w:szCs w:val="22"/>
          <w:lang w:val="en-ZA"/>
        </w:rPr>
      </w:pPr>
      <w:r w:rsidRPr="009D4F16">
        <w:rPr>
          <w:rFonts w:ascii="Arial" w:hAnsi="Arial" w:cs="Arial"/>
          <w:iCs/>
          <w:sz w:val="22"/>
          <w:szCs w:val="22"/>
          <w:lang w:val="en-ZA"/>
        </w:rPr>
        <w:t>Where a foreign donor funds a research project through multiple recipients by awarding the funds to a prime recipient and allocating sub-awards to more than one recipient as sub-awardees, this will lead to multiple VAT registrations concerning the same project. Further, some implementing agencies “implement, operate, administer or manage” multiple FDFPs and are required to register multiple branches for VAT purposes. Some institutions manage hundreds of FDFPs. The above administrative concerns lead to inefficiencies in applications and unnecessary burdens for both taxpayers and SARS, and additional risk and costs associated with VAT compliance. </w:t>
      </w:r>
    </w:p>
    <w:p w14:paraId="4102086C" w14:textId="77777777" w:rsidR="00C623A5" w:rsidRPr="003F111D" w:rsidRDefault="00C623A5" w:rsidP="003F111D">
      <w:pPr>
        <w:pStyle w:val="BodyText"/>
        <w:spacing w:before="1" w:line="271" w:lineRule="auto"/>
        <w:ind w:left="492" w:right="152"/>
        <w:jc w:val="both"/>
        <w:rPr>
          <w:rFonts w:ascii="Arial" w:hAnsi="Arial" w:cs="Arial"/>
          <w:sz w:val="22"/>
          <w:szCs w:val="22"/>
          <w:lang w:val="en-ZA"/>
        </w:rPr>
      </w:pPr>
    </w:p>
    <w:p w14:paraId="0609F25A" w14:textId="77777777" w:rsidR="00C623A5" w:rsidRPr="009D4F16" w:rsidRDefault="00C623A5" w:rsidP="00403DF5">
      <w:pPr>
        <w:pStyle w:val="BodyText"/>
        <w:spacing w:line="271" w:lineRule="auto"/>
        <w:ind w:left="831" w:right="152"/>
        <w:jc w:val="both"/>
        <w:rPr>
          <w:rFonts w:ascii="Arial" w:hAnsi="Arial" w:cs="Arial"/>
          <w:iCs/>
          <w:sz w:val="22"/>
          <w:szCs w:val="22"/>
          <w:lang w:val="en-ZA"/>
        </w:rPr>
      </w:pPr>
      <w:r w:rsidRPr="009D4F16">
        <w:rPr>
          <w:rFonts w:ascii="Arial" w:hAnsi="Arial" w:cs="Arial"/>
          <w:iCs/>
          <w:sz w:val="22"/>
          <w:szCs w:val="22"/>
          <w:lang w:val="en-ZA"/>
        </w:rPr>
        <w:t>The reason for originally requiring separate VAT branch registrations was to limit the risk of abuse of the FDFP provisions. Based on subsequent market research and discussions, it was highlighted that the implementing agency would, by agreement, be required to keep detailed records of all funding received and the manner in which those funds were expensed or used for each FDFP project separately through a comprehensive accounting system. Implementing agencies are therefore able to provide SARS with all the relevant information regarding each FDFP separately. This, together with the fact that an FDFP must still be approved by National Treasury, addresses the previous concerns regarding the risk of abuse and hence, separate branch registrations for each FDFP are not required. </w:t>
      </w:r>
    </w:p>
    <w:p w14:paraId="46A31560" w14:textId="77777777" w:rsidR="00C623A5" w:rsidRPr="003F111D" w:rsidRDefault="00C623A5" w:rsidP="00C623A5">
      <w:pPr>
        <w:pStyle w:val="BodyText"/>
        <w:spacing w:before="1" w:line="271" w:lineRule="auto"/>
        <w:ind w:left="492" w:right="152"/>
        <w:jc w:val="both"/>
        <w:rPr>
          <w:rFonts w:ascii="Arial" w:hAnsi="Arial" w:cs="Arial"/>
          <w:sz w:val="22"/>
          <w:szCs w:val="22"/>
          <w:lang w:val="en-ZA"/>
        </w:rPr>
      </w:pPr>
    </w:p>
    <w:p w14:paraId="7977E3EE" w14:textId="072E287C" w:rsidR="00C623A5" w:rsidRPr="009D4F16" w:rsidRDefault="00C623A5" w:rsidP="00403DF5">
      <w:pPr>
        <w:pStyle w:val="BodyText"/>
        <w:spacing w:line="271" w:lineRule="auto"/>
        <w:ind w:left="831" w:right="152"/>
        <w:jc w:val="both"/>
        <w:rPr>
          <w:rFonts w:ascii="Arial" w:hAnsi="Arial" w:cs="Arial"/>
          <w:iCs/>
          <w:sz w:val="22"/>
          <w:szCs w:val="22"/>
          <w:lang w:val="en-ZA"/>
        </w:rPr>
      </w:pPr>
      <w:r w:rsidRPr="009D4F16">
        <w:rPr>
          <w:rFonts w:ascii="Arial" w:hAnsi="Arial" w:cs="Arial"/>
          <w:iCs/>
          <w:sz w:val="22"/>
          <w:szCs w:val="22"/>
          <w:lang w:val="en-ZA"/>
        </w:rPr>
        <w:t>To ease the administrative burden on the implementing agents, it is proposed that implementing agents be required to register one branch for VAT purposes that will encompass all FDFPs that such implementing agency is responsible to “implement, operate, administer or manage</w:t>
      </w:r>
      <w:r w:rsidR="006E4D5A" w:rsidRPr="009D4F16">
        <w:rPr>
          <w:rFonts w:ascii="Arial" w:hAnsi="Arial" w:cs="Arial"/>
          <w:iCs/>
          <w:sz w:val="22"/>
          <w:szCs w:val="22"/>
          <w:lang w:val="en-ZA"/>
        </w:rPr>
        <w:t>.</w:t>
      </w:r>
    </w:p>
    <w:p w14:paraId="07701C6C" w14:textId="77777777" w:rsidR="00C623A5" w:rsidRPr="004C639D" w:rsidRDefault="00C623A5" w:rsidP="00C623A5">
      <w:pPr>
        <w:pStyle w:val="BodyText"/>
        <w:spacing w:line="271" w:lineRule="auto"/>
        <w:ind w:left="492" w:right="153"/>
        <w:jc w:val="both"/>
        <w:rPr>
          <w:rFonts w:ascii="Arial"/>
          <w:i/>
          <w:lang w:val="en-ZA"/>
        </w:rPr>
      </w:pPr>
    </w:p>
    <w:p w14:paraId="72FF118E" w14:textId="77777777" w:rsidR="00C623A5" w:rsidRPr="003F111D" w:rsidRDefault="00C623A5" w:rsidP="00C623A5">
      <w:pPr>
        <w:pStyle w:val="BodyText"/>
        <w:spacing w:line="271" w:lineRule="auto"/>
        <w:ind w:left="492" w:right="153"/>
        <w:jc w:val="both"/>
        <w:rPr>
          <w:rFonts w:ascii="Arial" w:hAnsi="Arial" w:cs="Arial"/>
          <w:i/>
          <w:sz w:val="22"/>
          <w:szCs w:val="22"/>
          <w:lang w:val="en-ZA"/>
        </w:rPr>
      </w:pPr>
      <w:r w:rsidRPr="003F111D">
        <w:rPr>
          <w:rFonts w:ascii="Arial" w:hAnsi="Arial" w:cs="Arial"/>
          <w:i/>
          <w:sz w:val="22"/>
          <w:szCs w:val="22"/>
          <w:lang w:val="en-ZA"/>
        </w:rPr>
        <w:t xml:space="preserve">Comment: </w:t>
      </w:r>
      <w:r w:rsidRPr="00403DF5">
        <w:rPr>
          <w:rFonts w:ascii="Arial" w:hAnsi="Arial" w:cs="Arial"/>
          <w:sz w:val="22"/>
          <w:szCs w:val="22"/>
          <w:lang w:val="en-ZA"/>
        </w:rPr>
        <w:t>The amendment is not addressing the challenges when obtaining confirmation from the National Treasury as to whether a project qualifies as a FDFP</w:t>
      </w:r>
      <w:r w:rsidRPr="003F111D">
        <w:rPr>
          <w:rFonts w:ascii="Arial" w:hAnsi="Arial" w:cs="Arial"/>
          <w:i/>
          <w:sz w:val="22"/>
          <w:szCs w:val="22"/>
          <w:lang w:val="en-ZA"/>
        </w:rPr>
        <w:t>.</w:t>
      </w:r>
    </w:p>
    <w:p w14:paraId="3E5168E0" w14:textId="77777777" w:rsidR="00C623A5" w:rsidRPr="003F111D" w:rsidRDefault="00C623A5" w:rsidP="00C623A5">
      <w:pPr>
        <w:pStyle w:val="BodyText"/>
        <w:spacing w:line="271" w:lineRule="auto"/>
        <w:ind w:left="492" w:right="153"/>
        <w:jc w:val="both"/>
        <w:rPr>
          <w:rFonts w:ascii="Arial" w:hAnsi="Arial" w:cs="Arial"/>
          <w:color w:val="000000" w:themeColor="text1"/>
          <w:lang w:val="en-ZA"/>
        </w:rPr>
      </w:pPr>
    </w:p>
    <w:p w14:paraId="54312F9E" w14:textId="77777777" w:rsidR="00C623A5" w:rsidRPr="003F111D" w:rsidRDefault="00C623A5" w:rsidP="003F111D">
      <w:pPr>
        <w:pStyle w:val="BodyText"/>
        <w:spacing w:line="271" w:lineRule="auto"/>
        <w:ind w:left="831" w:right="152"/>
        <w:jc w:val="both"/>
        <w:rPr>
          <w:rFonts w:ascii="Arial" w:hAnsi="Arial" w:cs="Arial"/>
          <w:i/>
          <w:sz w:val="22"/>
          <w:szCs w:val="22"/>
          <w:lang w:val="en-ZA"/>
        </w:rPr>
      </w:pPr>
      <w:r w:rsidRPr="003F111D">
        <w:rPr>
          <w:rFonts w:ascii="Arial" w:hAnsi="Arial" w:cs="Arial"/>
          <w:i/>
          <w:sz w:val="22"/>
          <w:szCs w:val="22"/>
          <w:lang w:val="en-ZA"/>
        </w:rPr>
        <w:t xml:space="preserve">Response: </w:t>
      </w:r>
      <w:r w:rsidRPr="00403DF5">
        <w:rPr>
          <w:rFonts w:ascii="Arial" w:hAnsi="Arial" w:cs="Arial"/>
          <w:sz w:val="22"/>
          <w:szCs w:val="22"/>
          <w:lang w:val="en-ZA"/>
        </w:rPr>
        <w:t>Accepted</w:t>
      </w:r>
      <w:r w:rsidRPr="003F111D">
        <w:rPr>
          <w:rFonts w:ascii="Arial" w:hAnsi="Arial" w:cs="Arial"/>
          <w:i/>
          <w:sz w:val="22"/>
          <w:szCs w:val="22"/>
          <w:lang w:val="en-ZA"/>
        </w:rPr>
        <w:t xml:space="preserve">. </w:t>
      </w:r>
      <w:r w:rsidRPr="00403DF5">
        <w:rPr>
          <w:rFonts w:ascii="Arial" w:hAnsi="Arial" w:cs="Arial"/>
          <w:sz w:val="22"/>
          <w:szCs w:val="22"/>
          <w:lang w:val="en-ZA"/>
        </w:rPr>
        <w:t>National Treasury are aware of the delays in obtaining these and are working on a solution</w:t>
      </w:r>
      <w:r w:rsidRPr="003F111D">
        <w:rPr>
          <w:rFonts w:ascii="Arial" w:hAnsi="Arial" w:cs="Arial"/>
          <w:i/>
          <w:sz w:val="22"/>
          <w:szCs w:val="22"/>
          <w:lang w:val="en-ZA"/>
        </w:rPr>
        <w:t>.</w:t>
      </w:r>
    </w:p>
    <w:p w14:paraId="5F1A834E" w14:textId="77777777" w:rsidR="00C623A5" w:rsidRPr="003F111D" w:rsidRDefault="00C623A5" w:rsidP="003F111D">
      <w:pPr>
        <w:pStyle w:val="BodyText"/>
        <w:spacing w:line="271" w:lineRule="auto"/>
        <w:ind w:right="153"/>
        <w:jc w:val="both"/>
        <w:rPr>
          <w:rFonts w:ascii="Arial" w:hAnsi="Arial" w:cs="Arial"/>
          <w:color w:val="000000" w:themeColor="text1"/>
          <w:lang w:val="en-ZA"/>
        </w:rPr>
      </w:pPr>
    </w:p>
    <w:p w14:paraId="2236C2C1" w14:textId="1C421A82" w:rsidR="00C623A5" w:rsidRPr="00403DF5" w:rsidRDefault="00C623A5" w:rsidP="00C623A5">
      <w:pPr>
        <w:pStyle w:val="BodyText"/>
        <w:spacing w:line="271" w:lineRule="auto"/>
        <w:ind w:left="492" w:right="153"/>
        <w:jc w:val="both"/>
        <w:rPr>
          <w:rFonts w:ascii="Arial" w:hAnsi="Arial" w:cs="Arial"/>
          <w:sz w:val="22"/>
          <w:szCs w:val="22"/>
          <w:lang w:val="en-ZA"/>
        </w:rPr>
      </w:pPr>
      <w:r w:rsidRPr="003F111D">
        <w:rPr>
          <w:rFonts w:ascii="Arial" w:hAnsi="Arial" w:cs="Arial"/>
          <w:i/>
          <w:sz w:val="22"/>
          <w:szCs w:val="22"/>
          <w:lang w:val="en-ZA"/>
        </w:rPr>
        <w:t xml:space="preserve">Comment: </w:t>
      </w:r>
      <w:r w:rsidRPr="00403DF5">
        <w:rPr>
          <w:rFonts w:ascii="Arial" w:hAnsi="Arial" w:cs="Arial"/>
          <w:sz w:val="22"/>
          <w:szCs w:val="22"/>
          <w:lang w:val="en-ZA"/>
        </w:rPr>
        <w:t xml:space="preserve">There may be unintended consequences in requiring existing FDFPs to merge into one branch. This may trigger section 8(2) output tax liability. Further, implementing agents should be given an option of whether to merge existing projects or not, since the burden and costs in doing so for existing projects, which are usually short-lived, may outweigh the benefits.  </w:t>
      </w:r>
    </w:p>
    <w:p w14:paraId="430D391D" w14:textId="77777777" w:rsidR="00C623A5" w:rsidRPr="004C639D" w:rsidRDefault="00C623A5" w:rsidP="00C623A5">
      <w:pPr>
        <w:pStyle w:val="BodyText"/>
        <w:spacing w:line="271" w:lineRule="auto"/>
        <w:ind w:left="492" w:right="153"/>
        <w:jc w:val="both"/>
        <w:rPr>
          <w:rFonts w:ascii="Arial"/>
          <w:i/>
          <w:lang w:val="en-ZA"/>
        </w:rPr>
      </w:pPr>
    </w:p>
    <w:p w14:paraId="1200A14F" w14:textId="07DCF770" w:rsidR="00C623A5" w:rsidRPr="00403DF5" w:rsidRDefault="00C623A5" w:rsidP="003F111D">
      <w:pPr>
        <w:pStyle w:val="BodyText"/>
        <w:spacing w:line="271" w:lineRule="auto"/>
        <w:ind w:left="831" w:right="152"/>
        <w:jc w:val="both"/>
        <w:rPr>
          <w:rFonts w:ascii="Arial" w:hAnsi="Arial" w:cs="Arial"/>
          <w:sz w:val="22"/>
          <w:szCs w:val="22"/>
          <w:lang w:val="en-ZA"/>
        </w:rPr>
      </w:pPr>
      <w:r w:rsidRPr="003F111D">
        <w:rPr>
          <w:rFonts w:ascii="Arial" w:hAnsi="Arial" w:cs="Arial"/>
          <w:i/>
          <w:sz w:val="22"/>
          <w:szCs w:val="22"/>
          <w:lang w:val="en-ZA"/>
        </w:rPr>
        <w:t xml:space="preserve">Response: </w:t>
      </w:r>
      <w:r w:rsidRPr="00403DF5">
        <w:rPr>
          <w:rFonts w:ascii="Arial" w:hAnsi="Arial" w:cs="Arial"/>
          <w:sz w:val="22"/>
          <w:szCs w:val="22"/>
          <w:u w:val="single"/>
          <w:lang w:val="en-ZA"/>
        </w:rPr>
        <w:t>Accepted</w:t>
      </w:r>
      <w:r w:rsidRPr="00403DF5">
        <w:rPr>
          <w:rFonts w:ascii="Arial" w:hAnsi="Arial" w:cs="Arial"/>
          <w:sz w:val="22"/>
          <w:szCs w:val="22"/>
          <w:lang w:val="en-ZA"/>
        </w:rPr>
        <w:t>. The draft TLAB was amended to ensure that Implementing agents may elect to merge all their FDFPs that were registered or required to be registered before 1 January 2025 or continue as separate enterprises until the projects are concluded.   In the event that the implementing agent elects to merge all the FDFPs branches into the single branch, the individual branches and the single branch will be deemed to be one and the same person so that there are no unintended output tax consequences where all the assets are retained within the FDFP project as reflected in the single branch. Implementing agents that are required to register any FDFP for VAT on or after 1 January 2025, will not have the option of registering FDFPs in several branches.</w:t>
      </w:r>
    </w:p>
    <w:p w14:paraId="2E5102D9" w14:textId="77777777" w:rsidR="00C623A5" w:rsidRPr="004C639D" w:rsidRDefault="00C623A5" w:rsidP="00C623A5">
      <w:pPr>
        <w:pStyle w:val="BodyText"/>
        <w:spacing w:line="271" w:lineRule="auto"/>
        <w:ind w:left="831" w:right="152"/>
        <w:jc w:val="both"/>
        <w:rPr>
          <w:rFonts w:ascii="Arial"/>
          <w:iCs/>
          <w:lang w:val="en-ZA"/>
        </w:rPr>
      </w:pPr>
    </w:p>
    <w:p w14:paraId="1F56D56F" w14:textId="33377B74" w:rsidR="00C623A5" w:rsidRPr="003F111D" w:rsidRDefault="00C623A5" w:rsidP="003F111D">
      <w:pPr>
        <w:pStyle w:val="Heading3"/>
        <w:numPr>
          <w:ilvl w:val="1"/>
          <w:numId w:val="37"/>
        </w:numPr>
        <w:tabs>
          <w:tab w:val="left" w:pos="961"/>
          <w:tab w:val="left" w:pos="1134"/>
        </w:tabs>
        <w:spacing w:before="0"/>
        <w:rPr>
          <w:sz w:val="22"/>
          <w:szCs w:val="22"/>
          <w:lang w:val="en-ZA"/>
        </w:rPr>
      </w:pPr>
      <w:bookmarkStart w:id="125" w:name="_Toc189212132"/>
      <w:r w:rsidRPr="003F111D">
        <w:rPr>
          <w:sz w:val="22"/>
          <w:szCs w:val="22"/>
          <w:lang w:val="en-ZA"/>
        </w:rPr>
        <w:t>Supplies by educational institutions to third parties</w:t>
      </w:r>
      <w:bookmarkEnd w:id="125"/>
      <w:r w:rsidRPr="003F111D">
        <w:rPr>
          <w:sz w:val="22"/>
          <w:szCs w:val="22"/>
          <w:lang w:val="en-ZA"/>
        </w:rPr>
        <w:t xml:space="preserve"> </w:t>
      </w:r>
    </w:p>
    <w:p w14:paraId="6146CEED" w14:textId="6986B665" w:rsidR="00C623A5" w:rsidRPr="003F111D" w:rsidRDefault="00C623A5" w:rsidP="00C623A5">
      <w:pPr>
        <w:pStyle w:val="BodyText"/>
        <w:spacing w:before="158"/>
        <w:ind w:left="555"/>
        <w:jc w:val="both"/>
        <w:rPr>
          <w:rFonts w:ascii="Arial" w:hAnsi="Arial" w:cs="Arial"/>
          <w:sz w:val="22"/>
          <w:szCs w:val="22"/>
          <w:lang w:val="en-ZA"/>
        </w:rPr>
      </w:pPr>
      <w:r w:rsidRPr="003F111D">
        <w:rPr>
          <w:rFonts w:ascii="Arial" w:hAnsi="Arial" w:cs="Arial"/>
          <w:sz w:val="22"/>
          <w:szCs w:val="22"/>
          <w:lang w:val="en-ZA"/>
        </w:rPr>
        <w:t>(Main reference: Section 12(h)(i</w:t>
      </w:r>
      <w:r w:rsidR="00FC2F04" w:rsidRPr="003F111D">
        <w:rPr>
          <w:rFonts w:ascii="Arial" w:hAnsi="Arial" w:cs="Arial"/>
          <w:sz w:val="22"/>
          <w:szCs w:val="22"/>
          <w:lang w:val="en-ZA"/>
        </w:rPr>
        <w:t>i</w:t>
      </w:r>
      <w:r w:rsidRPr="003F111D">
        <w:rPr>
          <w:rFonts w:ascii="Arial" w:hAnsi="Arial" w:cs="Arial"/>
          <w:sz w:val="22"/>
          <w:szCs w:val="22"/>
          <w:lang w:val="en-ZA"/>
        </w:rPr>
        <w:t>) of the VAT Act)</w:t>
      </w:r>
    </w:p>
    <w:p w14:paraId="747D3E80" w14:textId="77777777" w:rsidR="00C623A5" w:rsidRPr="003F111D" w:rsidRDefault="00C623A5" w:rsidP="00C623A5">
      <w:pPr>
        <w:pStyle w:val="BodyText"/>
        <w:spacing w:before="1" w:line="271" w:lineRule="auto"/>
        <w:ind w:right="152"/>
        <w:jc w:val="both"/>
        <w:rPr>
          <w:lang w:val="en-ZA"/>
        </w:rPr>
      </w:pPr>
      <w:r w:rsidRPr="003F111D">
        <w:rPr>
          <w:lang w:val="en-ZA"/>
        </w:rPr>
        <w:t> </w:t>
      </w:r>
    </w:p>
    <w:p w14:paraId="03D39DA1" w14:textId="77777777" w:rsidR="00C623A5" w:rsidRPr="009D4F16" w:rsidRDefault="00C623A5" w:rsidP="00403DF5">
      <w:pPr>
        <w:pStyle w:val="BodyText"/>
        <w:spacing w:line="271" w:lineRule="auto"/>
        <w:ind w:left="831" w:right="152"/>
        <w:jc w:val="both"/>
        <w:rPr>
          <w:rFonts w:ascii="Arial" w:hAnsi="Arial" w:cs="Arial"/>
          <w:iCs/>
          <w:sz w:val="22"/>
          <w:szCs w:val="22"/>
          <w:lang w:val="en-ZA"/>
        </w:rPr>
      </w:pPr>
      <w:r w:rsidRPr="009D4F16">
        <w:rPr>
          <w:rFonts w:ascii="Arial" w:hAnsi="Arial" w:cs="Arial"/>
          <w:iCs/>
          <w:sz w:val="22"/>
          <w:szCs w:val="22"/>
          <w:lang w:val="en-ZA"/>
        </w:rPr>
        <w:t xml:space="preserve">The supply of educational services by an educational institution is exempt from VAT in terms of section 12(h)(i) of the VAT Act. Section 12(h)(ii) of the VAT Act further exempts from VAT the supplies made by an educational institution solely or mainly for the benefit of its leaners or students of goods or services (including domestic goods and services) that are necessary for and subordinate and incidental to the supply of services referred to in section 12(h)(i) of the VAT Act, if such goods or services are supplied for consideration in the form of school fees, tuition fees or payment for lodging or board and lodging.   </w:t>
      </w:r>
    </w:p>
    <w:p w14:paraId="6852D6F8" w14:textId="77777777" w:rsidR="00C623A5" w:rsidRPr="003F111D" w:rsidRDefault="00C623A5" w:rsidP="00C623A5">
      <w:pPr>
        <w:pStyle w:val="BodyText"/>
        <w:spacing w:before="1" w:line="271" w:lineRule="auto"/>
        <w:ind w:left="492" w:right="152"/>
        <w:jc w:val="both"/>
        <w:rPr>
          <w:rFonts w:ascii="Arial" w:hAnsi="Arial" w:cs="Arial"/>
          <w:sz w:val="22"/>
          <w:szCs w:val="22"/>
          <w:lang w:val="en-ZA"/>
        </w:rPr>
      </w:pPr>
    </w:p>
    <w:p w14:paraId="4D0DCBBF" w14:textId="77777777" w:rsidR="00C623A5" w:rsidRPr="009D4F16" w:rsidRDefault="00C623A5" w:rsidP="00403DF5">
      <w:pPr>
        <w:pStyle w:val="BodyText"/>
        <w:spacing w:line="271" w:lineRule="auto"/>
        <w:ind w:left="831" w:right="152"/>
        <w:jc w:val="both"/>
        <w:rPr>
          <w:rFonts w:ascii="Arial" w:hAnsi="Arial" w:cs="Arial"/>
          <w:iCs/>
          <w:sz w:val="22"/>
          <w:szCs w:val="22"/>
          <w:lang w:val="en-ZA"/>
        </w:rPr>
      </w:pPr>
      <w:r w:rsidRPr="009D4F16">
        <w:rPr>
          <w:rFonts w:ascii="Arial" w:hAnsi="Arial" w:cs="Arial"/>
          <w:iCs/>
          <w:sz w:val="22"/>
          <w:szCs w:val="22"/>
          <w:lang w:val="en-ZA"/>
        </w:rPr>
        <w:t xml:space="preserve">There seems to be two strong opposing interpretations with regards to the application of section 12(h)(ii) of the VAT Act. The first interpretation is that the supplies made to third parties of goods or services by an educational institution are exempt from VAT in terms of section 12(h)(ii) of the VAT Act. The second interpretation is that the subparagraph limits the scope of the exemption to only supplies where a consideration is made in the form of school fees, tuition fees or payment for lodging and boarding. </w:t>
      </w:r>
    </w:p>
    <w:p w14:paraId="254E4E8E" w14:textId="77777777" w:rsidR="00C623A5" w:rsidRPr="003F111D" w:rsidRDefault="00C623A5" w:rsidP="00C623A5">
      <w:pPr>
        <w:pStyle w:val="BodyText"/>
        <w:spacing w:before="1" w:line="271" w:lineRule="auto"/>
        <w:ind w:left="492" w:right="152"/>
        <w:jc w:val="both"/>
        <w:rPr>
          <w:rFonts w:ascii="Arial" w:hAnsi="Arial" w:cs="Arial"/>
          <w:sz w:val="22"/>
          <w:szCs w:val="22"/>
          <w:lang w:val="en-ZA"/>
        </w:rPr>
      </w:pPr>
    </w:p>
    <w:p w14:paraId="48287434" w14:textId="77777777" w:rsidR="00C623A5" w:rsidRPr="009D4F16" w:rsidRDefault="00C623A5" w:rsidP="00403DF5">
      <w:pPr>
        <w:pStyle w:val="BodyText"/>
        <w:spacing w:line="271" w:lineRule="auto"/>
        <w:ind w:left="831" w:right="152"/>
        <w:jc w:val="both"/>
        <w:rPr>
          <w:rFonts w:ascii="Arial" w:hAnsi="Arial" w:cs="Arial"/>
          <w:iCs/>
          <w:sz w:val="22"/>
          <w:szCs w:val="22"/>
          <w:lang w:val="en-ZA"/>
        </w:rPr>
      </w:pPr>
      <w:r w:rsidRPr="009D4F16">
        <w:rPr>
          <w:rFonts w:ascii="Arial" w:hAnsi="Arial" w:cs="Arial"/>
          <w:iCs/>
          <w:sz w:val="22"/>
          <w:szCs w:val="22"/>
          <w:lang w:val="en-ZA"/>
        </w:rPr>
        <w:t xml:space="preserve">It is proposed that section 12(h)(ii) of the VAT Act be amended to clarify the policy intention relating to these supplies. </w:t>
      </w:r>
    </w:p>
    <w:p w14:paraId="52FEC7D4" w14:textId="77777777" w:rsidR="00C623A5" w:rsidRPr="004C639D" w:rsidRDefault="00C623A5" w:rsidP="00C623A5">
      <w:pPr>
        <w:pStyle w:val="BodyText"/>
        <w:spacing w:line="271" w:lineRule="auto"/>
        <w:ind w:right="153"/>
        <w:jc w:val="both"/>
        <w:rPr>
          <w:rFonts w:ascii="Arial"/>
          <w:i/>
          <w:lang w:val="en-ZA"/>
        </w:rPr>
      </w:pPr>
    </w:p>
    <w:p w14:paraId="6C7D4CE6" w14:textId="77777777" w:rsidR="00FC2F04" w:rsidRPr="003F111D" w:rsidRDefault="00C623A5" w:rsidP="003F111D">
      <w:pPr>
        <w:pStyle w:val="BodyText"/>
        <w:spacing w:line="271" w:lineRule="auto"/>
        <w:ind w:left="492" w:right="153"/>
        <w:jc w:val="both"/>
        <w:rPr>
          <w:i/>
          <w:sz w:val="22"/>
          <w:szCs w:val="22"/>
          <w:lang w:val="en-ZA"/>
        </w:rPr>
      </w:pPr>
      <w:r w:rsidRPr="003F111D">
        <w:rPr>
          <w:rFonts w:ascii="Arial" w:hAnsi="Arial" w:cs="Arial"/>
          <w:i/>
          <w:sz w:val="22"/>
          <w:szCs w:val="22"/>
          <w:lang w:val="en-ZA"/>
        </w:rPr>
        <w:t xml:space="preserve">Comment: </w:t>
      </w:r>
      <w:r w:rsidRPr="00403DF5">
        <w:rPr>
          <w:rFonts w:ascii="Arial" w:hAnsi="Arial" w:cs="Arial"/>
          <w:sz w:val="22"/>
          <w:szCs w:val="22"/>
          <w:lang w:val="en-ZA"/>
        </w:rPr>
        <w:t>More time is required to accurately assess the impact of a change in use, since this proposed amendment will trigger VAT consequences on such change in use. Further, the words “solely or mainly for the benefit of its learners or students” in the proposed amendment to section 12(h)(ii) should be retained and not deleted</w:t>
      </w:r>
      <w:r w:rsidRPr="003F111D">
        <w:rPr>
          <w:rFonts w:ascii="Arial" w:hAnsi="Arial" w:cs="Arial"/>
          <w:i/>
          <w:sz w:val="22"/>
          <w:szCs w:val="22"/>
          <w:lang w:val="en-ZA"/>
        </w:rPr>
        <w:t>.</w:t>
      </w:r>
    </w:p>
    <w:p w14:paraId="19C80C49" w14:textId="77777777" w:rsidR="00FC2F04" w:rsidRPr="004C639D" w:rsidRDefault="00FC2F04" w:rsidP="00FC2F04">
      <w:pPr>
        <w:pStyle w:val="ListParagraph"/>
        <w:widowControl/>
        <w:autoSpaceDE/>
        <w:autoSpaceDN/>
        <w:spacing w:before="0" w:after="160" w:line="259" w:lineRule="auto"/>
        <w:ind w:left="456" w:firstLine="0"/>
        <w:contextualSpacing/>
        <w:jc w:val="both"/>
        <w:rPr>
          <w:i/>
          <w:lang w:val="en-ZA"/>
        </w:rPr>
      </w:pPr>
    </w:p>
    <w:p w14:paraId="10867CD3" w14:textId="2C036861" w:rsidR="00C623A5" w:rsidRDefault="00C623A5" w:rsidP="003F111D">
      <w:pPr>
        <w:pStyle w:val="BodyText"/>
        <w:spacing w:line="271" w:lineRule="auto"/>
        <w:ind w:left="831" w:right="152"/>
        <w:jc w:val="both"/>
        <w:rPr>
          <w:rFonts w:ascii="Arial" w:hAnsi="Arial" w:cs="Arial"/>
          <w:i/>
          <w:sz w:val="22"/>
          <w:szCs w:val="22"/>
          <w:lang w:val="en-ZA"/>
        </w:rPr>
      </w:pPr>
      <w:r w:rsidRPr="003F111D">
        <w:rPr>
          <w:rFonts w:ascii="Arial" w:hAnsi="Arial" w:cs="Arial"/>
          <w:i/>
          <w:sz w:val="22"/>
          <w:szCs w:val="22"/>
          <w:lang w:val="en-ZA"/>
        </w:rPr>
        <w:t xml:space="preserve">Response: </w:t>
      </w:r>
      <w:r w:rsidRPr="00403DF5">
        <w:rPr>
          <w:rFonts w:ascii="Arial" w:hAnsi="Arial" w:cs="Arial"/>
          <w:sz w:val="22"/>
          <w:szCs w:val="22"/>
          <w:u w:val="single"/>
          <w:lang w:val="en-ZA"/>
        </w:rPr>
        <w:t>Accepted</w:t>
      </w:r>
      <w:r w:rsidRPr="00403DF5">
        <w:rPr>
          <w:rFonts w:ascii="Arial" w:hAnsi="Arial" w:cs="Arial"/>
          <w:sz w:val="22"/>
          <w:szCs w:val="22"/>
          <w:lang w:val="en-ZA"/>
        </w:rPr>
        <w:t>. The amended has been withdrawn in order to consult further with all stakeholders.</w:t>
      </w:r>
      <w:r w:rsidRPr="003F111D">
        <w:rPr>
          <w:rFonts w:ascii="Arial" w:hAnsi="Arial" w:cs="Arial"/>
          <w:i/>
          <w:sz w:val="22"/>
          <w:szCs w:val="22"/>
          <w:lang w:val="en-ZA"/>
        </w:rPr>
        <w:t xml:space="preserve">   </w:t>
      </w:r>
    </w:p>
    <w:p w14:paraId="15F25B53" w14:textId="77777777" w:rsidR="00C623A5" w:rsidRPr="003F111D" w:rsidRDefault="00C623A5" w:rsidP="00403DF5">
      <w:pPr>
        <w:pStyle w:val="BodyText"/>
        <w:spacing w:line="271" w:lineRule="auto"/>
        <w:ind w:right="152"/>
        <w:jc w:val="both"/>
        <w:rPr>
          <w:rFonts w:ascii="Arial"/>
          <w:iCs/>
          <w:spacing w:val="-7"/>
          <w:lang w:val="en-ZA"/>
        </w:rPr>
      </w:pPr>
    </w:p>
    <w:p w14:paraId="2271A814" w14:textId="7DC7E7E4" w:rsidR="00C623A5" w:rsidRPr="00403DF5" w:rsidRDefault="00C623A5" w:rsidP="00403DF5">
      <w:pPr>
        <w:pStyle w:val="Heading3"/>
        <w:numPr>
          <w:ilvl w:val="1"/>
          <w:numId w:val="37"/>
        </w:numPr>
        <w:tabs>
          <w:tab w:val="left" w:pos="961"/>
          <w:tab w:val="left" w:pos="1134"/>
        </w:tabs>
        <w:spacing w:before="0"/>
        <w:rPr>
          <w:sz w:val="22"/>
          <w:szCs w:val="22"/>
          <w:lang w:val="en-ZA"/>
        </w:rPr>
      </w:pPr>
      <w:bookmarkStart w:id="126" w:name="_Toc189212133"/>
      <w:r w:rsidRPr="00403DF5">
        <w:rPr>
          <w:sz w:val="22"/>
          <w:szCs w:val="22"/>
          <w:lang w:val="en-ZA"/>
        </w:rPr>
        <w:t>Prescription period for input tax claims</w:t>
      </w:r>
      <w:bookmarkEnd w:id="126"/>
      <w:r w:rsidRPr="00403DF5">
        <w:rPr>
          <w:sz w:val="22"/>
          <w:szCs w:val="22"/>
          <w:lang w:val="en-ZA"/>
        </w:rPr>
        <w:t xml:space="preserve"> </w:t>
      </w:r>
    </w:p>
    <w:p w14:paraId="7D49B9D7" w14:textId="5FEF0342" w:rsidR="00C623A5" w:rsidRPr="00403DF5" w:rsidRDefault="00C623A5" w:rsidP="00C623A5">
      <w:pPr>
        <w:pStyle w:val="BodyText"/>
        <w:spacing w:before="158"/>
        <w:ind w:left="555"/>
        <w:jc w:val="both"/>
        <w:rPr>
          <w:sz w:val="22"/>
          <w:szCs w:val="22"/>
          <w:lang w:val="en-ZA"/>
        </w:rPr>
      </w:pPr>
      <w:r w:rsidRPr="00403DF5">
        <w:rPr>
          <w:sz w:val="22"/>
          <w:szCs w:val="22"/>
          <w:lang w:val="en-ZA"/>
        </w:rPr>
        <w:t xml:space="preserve">(Main reference: </w:t>
      </w:r>
      <w:r w:rsidRPr="00403DF5">
        <w:rPr>
          <w:rFonts w:eastAsia="Arial" w:cs="Arial"/>
          <w:color w:val="000000"/>
          <w:sz w:val="22"/>
          <w:szCs w:val="22"/>
          <w:lang w:val="en-ZA" w:eastAsia="en-ZA"/>
        </w:rPr>
        <w:t>Paragraph (i) of the proviso to section 16(3) of the VAT Act</w:t>
      </w:r>
      <w:r w:rsidRPr="00403DF5">
        <w:rPr>
          <w:sz w:val="22"/>
          <w:szCs w:val="22"/>
          <w:lang w:val="en-ZA"/>
        </w:rPr>
        <w:t>)</w:t>
      </w:r>
    </w:p>
    <w:p w14:paraId="106B5E40" w14:textId="77777777" w:rsidR="00C623A5" w:rsidRPr="00403DF5" w:rsidRDefault="00C623A5" w:rsidP="00C623A5">
      <w:pPr>
        <w:pStyle w:val="BodyText"/>
        <w:spacing w:before="1" w:line="271" w:lineRule="auto"/>
        <w:ind w:right="152"/>
        <w:jc w:val="both"/>
        <w:rPr>
          <w:sz w:val="22"/>
          <w:szCs w:val="22"/>
          <w:lang w:val="en-ZA"/>
        </w:rPr>
      </w:pPr>
      <w:r w:rsidRPr="00403DF5">
        <w:rPr>
          <w:sz w:val="22"/>
          <w:szCs w:val="22"/>
          <w:lang w:val="en-ZA"/>
        </w:rPr>
        <w:t> </w:t>
      </w:r>
    </w:p>
    <w:p w14:paraId="020B7B85" w14:textId="535F2FD8" w:rsidR="00C623A5" w:rsidRPr="00403DF5" w:rsidRDefault="00C623A5" w:rsidP="00403DF5">
      <w:pPr>
        <w:pStyle w:val="BodyText"/>
        <w:spacing w:line="271" w:lineRule="auto"/>
        <w:ind w:left="831" w:right="152"/>
        <w:jc w:val="both"/>
        <w:rPr>
          <w:rFonts w:ascii="Arial" w:hAnsi="Arial" w:cs="Arial"/>
          <w:iCs/>
          <w:sz w:val="22"/>
          <w:szCs w:val="22"/>
          <w:lang w:val="en-ZA"/>
        </w:rPr>
      </w:pPr>
      <w:r w:rsidRPr="00403DF5">
        <w:rPr>
          <w:rFonts w:ascii="Arial" w:hAnsi="Arial" w:cs="Arial"/>
          <w:iCs/>
          <w:sz w:val="22"/>
          <w:szCs w:val="22"/>
          <w:lang w:val="en-ZA"/>
        </w:rPr>
        <w:t xml:space="preserve">The VAT Act permits vendors a 5-year period within which to claim input tax credits relating to past periods, which were, for whatever reason, not claimed. It has come to </w:t>
      </w:r>
      <w:r w:rsidR="00FC2F04" w:rsidRPr="00403DF5">
        <w:rPr>
          <w:rFonts w:ascii="Arial" w:hAnsi="Arial" w:cs="Arial"/>
          <w:iCs/>
          <w:sz w:val="22"/>
          <w:szCs w:val="22"/>
          <w:lang w:val="en-ZA"/>
        </w:rPr>
        <w:t>the government</w:t>
      </w:r>
      <w:r w:rsidR="00FC2F04" w:rsidRPr="00403DF5">
        <w:rPr>
          <w:rFonts w:ascii="Arial" w:hAnsi="Arial" w:cs="Arial" w:hint="eastAsia"/>
          <w:iCs/>
          <w:sz w:val="22"/>
          <w:szCs w:val="22"/>
          <w:lang w:val="en-ZA"/>
        </w:rPr>
        <w:t>’</w:t>
      </w:r>
      <w:r w:rsidR="00FC2F04" w:rsidRPr="00403DF5">
        <w:rPr>
          <w:rFonts w:ascii="Arial" w:hAnsi="Arial" w:cs="Arial"/>
          <w:iCs/>
          <w:sz w:val="22"/>
          <w:szCs w:val="22"/>
          <w:lang w:val="en-ZA"/>
        </w:rPr>
        <w:t>s</w:t>
      </w:r>
      <w:r w:rsidRPr="00403DF5">
        <w:rPr>
          <w:rFonts w:ascii="Arial" w:hAnsi="Arial" w:cs="Arial"/>
          <w:iCs/>
          <w:sz w:val="22"/>
          <w:szCs w:val="22"/>
          <w:lang w:val="en-ZA"/>
        </w:rPr>
        <w:t xml:space="preserve"> attention that there has been a practice whereby all such unclaimed the input tax is claimed in one future tax period. </w:t>
      </w:r>
    </w:p>
    <w:p w14:paraId="0D8E4E9F" w14:textId="77777777" w:rsidR="00C623A5" w:rsidRPr="003F111D" w:rsidRDefault="00C623A5" w:rsidP="00C623A5">
      <w:pPr>
        <w:pStyle w:val="BodyText"/>
        <w:spacing w:before="1" w:line="271" w:lineRule="auto"/>
        <w:ind w:left="492" w:right="152"/>
        <w:jc w:val="both"/>
        <w:rPr>
          <w:rFonts w:eastAsia="Arial" w:cs="Arial"/>
          <w:color w:val="000000"/>
          <w:szCs w:val="22"/>
          <w:lang w:val="en-ZA" w:eastAsia="en-ZA"/>
        </w:rPr>
      </w:pPr>
    </w:p>
    <w:p w14:paraId="276AF12C" w14:textId="77777777" w:rsidR="00C623A5" w:rsidRPr="00403DF5" w:rsidRDefault="00C623A5" w:rsidP="00403DF5">
      <w:pPr>
        <w:pStyle w:val="BodyText"/>
        <w:spacing w:line="271" w:lineRule="auto"/>
        <w:ind w:left="831" w:right="152"/>
        <w:jc w:val="both"/>
        <w:rPr>
          <w:rFonts w:ascii="Arial" w:hAnsi="Arial" w:cs="Arial"/>
          <w:iCs/>
          <w:sz w:val="22"/>
          <w:szCs w:val="22"/>
          <w:lang w:val="en-ZA"/>
        </w:rPr>
      </w:pPr>
      <w:r w:rsidRPr="00403DF5">
        <w:rPr>
          <w:rFonts w:ascii="Arial" w:hAnsi="Arial" w:cs="Arial"/>
          <w:iCs/>
          <w:sz w:val="22"/>
          <w:szCs w:val="22"/>
          <w:lang w:val="en-ZA"/>
        </w:rPr>
        <w:t xml:space="preserve">This practice might lead to a risk of double deduction. </w:t>
      </w:r>
    </w:p>
    <w:p w14:paraId="4CB2F36F" w14:textId="77777777" w:rsidR="00C623A5" w:rsidRPr="003F111D" w:rsidRDefault="00C623A5" w:rsidP="00C623A5">
      <w:pPr>
        <w:pStyle w:val="BodyText"/>
        <w:spacing w:before="1" w:line="271" w:lineRule="auto"/>
        <w:ind w:left="492" w:right="152"/>
        <w:jc w:val="both"/>
        <w:rPr>
          <w:rFonts w:eastAsia="Arial" w:cs="Arial"/>
          <w:color w:val="000000"/>
          <w:szCs w:val="22"/>
          <w:lang w:val="en-ZA" w:eastAsia="en-ZA"/>
        </w:rPr>
      </w:pPr>
    </w:p>
    <w:p w14:paraId="791E8828" w14:textId="23D501EB" w:rsidR="00C623A5" w:rsidRPr="00403DF5" w:rsidRDefault="00C623A5" w:rsidP="00403DF5">
      <w:pPr>
        <w:pStyle w:val="BodyText"/>
        <w:spacing w:line="271" w:lineRule="auto"/>
        <w:ind w:left="831" w:right="152"/>
        <w:jc w:val="both"/>
        <w:rPr>
          <w:rFonts w:ascii="Arial" w:hAnsi="Arial" w:cs="Arial"/>
          <w:iCs/>
          <w:sz w:val="22"/>
          <w:szCs w:val="22"/>
          <w:lang w:val="en-ZA"/>
        </w:rPr>
      </w:pPr>
      <w:r w:rsidRPr="00403DF5">
        <w:rPr>
          <w:rFonts w:ascii="Arial" w:hAnsi="Arial" w:cs="Arial"/>
          <w:iCs/>
          <w:sz w:val="22"/>
          <w:szCs w:val="22"/>
          <w:lang w:val="en-ZA"/>
        </w:rPr>
        <w:t>It is proposed that the VAT Act be amended to require that such deductions be made in the original period in which the entitlement to that deduction arose.</w:t>
      </w:r>
    </w:p>
    <w:p w14:paraId="235A6EE7" w14:textId="77777777" w:rsidR="00C623A5" w:rsidRPr="004C639D" w:rsidRDefault="00C623A5" w:rsidP="00C623A5">
      <w:pPr>
        <w:pStyle w:val="BodyText"/>
        <w:spacing w:line="271" w:lineRule="auto"/>
        <w:ind w:right="153"/>
        <w:jc w:val="both"/>
        <w:rPr>
          <w:rFonts w:ascii="Arial"/>
          <w:i/>
          <w:lang w:val="en-ZA"/>
        </w:rPr>
      </w:pPr>
    </w:p>
    <w:p w14:paraId="5F5D5DDF" w14:textId="6E7B5747" w:rsidR="00C623A5" w:rsidRPr="003F111D" w:rsidRDefault="00C623A5" w:rsidP="003F111D">
      <w:pPr>
        <w:pStyle w:val="BodyText"/>
        <w:spacing w:line="271" w:lineRule="auto"/>
        <w:ind w:left="492" w:right="153"/>
        <w:jc w:val="both"/>
        <w:rPr>
          <w:i/>
          <w:lang w:val="en-ZA"/>
        </w:rPr>
      </w:pPr>
      <w:r w:rsidRPr="003F111D">
        <w:rPr>
          <w:rFonts w:ascii="Arial" w:hAnsi="Arial" w:cs="Arial"/>
          <w:i/>
          <w:sz w:val="22"/>
          <w:szCs w:val="22"/>
          <w:lang w:val="en-ZA"/>
        </w:rPr>
        <w:t xml:space="preserve">Comment: </w:t>
      </w:r>
      <w:r w:rsidRPr="00403DF5">
        <w:rPr>
          <w:rFonts w:ascii="Arial" w:eastAsia="Arial" w:hAnsi="Arial" w:cs="Arial"/>
          <w:color w:val="000000"/>
          <w:sz w:val="22"/>
          <w:szCs w:val="22"/>
          <w:lang w:val="en-ZA" w:eastAsia="en-ZA"/>
        </w:rPr>
        <w:t xml:space="preserve">The amendment is not welcomed due to the following: SARS efiling system is currently unable to accommodate this, there are costs and practical difficulties related to this proposal, since it will involve manual adjustments, which has the potential to increase the risks involved. Further, larger vendors that process hundreds of invoices per </w:t>
      </w:r>
      <w:r w:rsidR="00FC2F04" w:rsidRPr="00403DF5">
        <w:rPr>
          <w:rFonts w:ascii="Arial" w:eastAsia="Arial" w:hAnsi="Arial" w:cs="Arial"/>
          <w:color w:val="000000"/>
          <w:sz w:val="22"/>
          <w:szCs w:val="22"/>
          <w:lang w:val="en-ZA" w:eastAsia="en-ZA"/>
        </w:rPr>
        <w:t>month</w:t>
      </w:r>
      <w:r w:rsidRPr="00403DF5">
        <w:rPr>
          <w:rFonts w:ascii="Arial" w:eastAsia="Arial" w:hAnsi="Arial" w:cs="Arial"/>
          <w:color w:val="000000"/>
          <w:sz w:val="22"/>
          <w:szCs w:val="22"/>
          <w:lang w:val="en-ZA" w:eastAsia="en-ZA"/>
        </w:rPr>
        <w:t xml:space="preserve"> will face huge burdens and risks of human error in complying with the proposed amendment. SARS should consider alternative solutions, such as, creating a separate “field” on the VAT201 return. This is an audit concern and not a legislative problem</w:t>
      </w:r>
      <w:r w:rsidRPr="003F111D">
        <w:rPr>
          <w:rFonts w:ascii="Arial" w:hAnsi="Arial" w:cs="Arial"/>
          <w:i/>
          <w:sz w:val="22"/>
          <w:szCs w:val="22"/>
          <w:lang w:val="en-ZA"/>
        </w:rPr>
        <w:t xml:space="preserve">. </w:t>
      </w:r>
    </w:p>
    <w:p w14:paraId="1BE71891" w14:textId="77777777" w:rsidR="00C623A5" w:rsidRPr="003F111D" w:rsidRDefault="00C623A5" w:rsidP="00C623A5">
      <w:pPr>
        <w:pStyle w:val="Default"/>
        <w:ind w:left="315"/>
        <w:jc w:val="both"/>
        <w:rPr>
          <w:bCs/>
          <w:color w:val="000000" w:themeColor="text1"/>
          <w:shd w:val="clear" w:color="auto" w:fill="FFFFFF"/>
          <w:lang w:val="en-ZA"/>
        </w:rPr>
      </w:pPr>
      <w:r w:rsidRPr="003F111D">
        <w:rPr>
          <w:color w:val="000000" w:themeColor="text1"/>
          <w:lang w:val="en-ZA"/>
        </w:rPr>
        <w:t xml:space="preserve">   </w:t>
      </w:r>
    </w:p>
    <w:p w14:paraId="79CDF3E0" w14:textId="7AA2FD42" w:rsidR="00375F5E" w:rsidRPr="00E00123" w:rsidRDefault="00C623A5" w:rsidP="00E00123">
      <w:pPr>
        <w:pStyle w:val="BodyText"/>
        <w:spacing w:line="271" w:lineRule="auto"/>
        <w:ind w:left="831" w:right="152"/>
        <w:jc w:val="both"/>
        <w:rPr>
          <w:rFonts w:ascii="Arial" w:hAnsi="Arial" w:cs="Arial"/>
          <w:i/>
          <w:sz w:val="22"/>
          <w:szCs w:val="22"/>
          <w:lang w:val="en-ZA"/>
        </w:rPr>
        <w:sectPr w:rsidR="00375F5E" w:rsidRPr="00E00123">
          <w:headerReference w:type="even" r:id="rId16"/>
          <w:headerReference w:type="default" r:id="rId17"/>
          <w:footerReference w:type="default" r:id="rId18"/>
          <w:headerReference w:type="first" r:id="rId19"/>
          <w:pgSz w:w="12240" w:h="15840"/>
          <w:pgMar w:top="1280" w:right="1720" w:bottom="1080" w:left="1720" w:header="0" w:footer="891" w:gutter="0"/>
          <w:cols w:space="720"/>
        </w:sectPr>
      </w:pPr>
      <w:r w:rsidRPr="003F111D">
        <w:rPr>
          <w:rFonts w:ascii="Arial" w:hAnsi="Arial" w:cs="Arial"/>
          <w:i/>
          <w:sz w:val="22"/>
          <w:szCs w:val="22"/>
          <w:lang w:val="en-ZA"/>
        </w:rPr>
        <w:t xml:space="preserve">Response: </w:t>
      </w:r>
      <w:r w:rsidRPr="00403DF5">
        <w:rPr>
          <w:rFonts w:ascii="Arial" w:eastAsia="Arial" w:hAnsi="Arial" w:cs="Arial"/>
          <w:color w:val="000000"/>
          <w:sz w:val="22"/>
          <w:szCs w:val="22"/>
          <w:u w:val="single"/>
          <w:lang w:val="en-ZA" w:eastAsia="en-ZA"/>
        </w:rPr>
        <w:t>Accepted</w:t>
      </w:r>
      <w:r w:rsidRPr="00403DF5">
        <w:rPr>
          <w:rFonts w:ascii="Arial" w:eastAsia="Arial" w:hAnsi="Arial" w:cs="Arial"/>
          <w:color w:val="000000"/>
          <w:sz w:val="22"/>
          <w:szCs w:val="22"/>
          <w:lang w:val="en-ZA" w:eastAsia="en-ZA"/>
        </w:rPr>
        <w:t>. The amend</w:t>
      </w:r>
      <w:r w:rsidR="008F6F6F" w:rsidRPr="00403DF5">
        <w:rPr>
          <w:rFonts w:ascii="Arial" w:eastAsia="Arial" w:hAnsi="Arial" w:cs="Arial"/>
          <w:color w:val="000000"/>
          <w:sz w:val="22"/>
          <w:szCs w:val="22"/>
          <w:lang w:val="en-ZA" w:eastAsia="en-ZA"/>
        </w:rPr>
        <w:t>ment</w:t>
      </w:r>
      <w:r w:rsidRPr="00403DF5">
        <w:rPr>
          <w:rFonts w:ascii="Arial" w:eastAsia="Arial" w:hAnsi="Arial" w:cs="Arial"/>
          <w:color w:val="000000"/>
          <w:sz w:val="22"/>
          <w:szCs w:val="22"/>
          <w:lang w:val="en-ZA" w:eastAsia="en-ZA"/>
        </w:rPr>
        <w:t xml:space="preserve"> has been withdrawn in order to consult further with all stakeholders</w:t>
      </w:r>
      <w:r w:rsidRPr="003F111D">
        <w:rPr>
          <w:rFonts w:ascii="Arial" w:hAnsi="Arial" w:cs="Arial"/>
          <w:i/>
          <w:sz w:val="22"/>
          <w:szCs w:val="22"/>
          <w:lang w:val="en-ZA"/>
        </w:rPr>
        <w:t>.</w:t>
      </w:r>
    </w:p>
    <w:p w14:paraId="3ECCACAE" w14:textId="59C72BCB" w:rsidR="6BDE1A3F" w:rsidRPr="004C639D" w:rsidRDefault="1719151F" w:rsidP="00403DF5">
      <w:pPr>
        <w:pStyle w:val="4Comment"/>
        <w:ind w:left="0"/>
        <w:jc w:val="center"/>
        <w:rPr>
          <w:b/>
          <w:bCs/>
          <w:sz w:val="28"/>
          <w:szCs w:val="28"/>
        </w:rPr>
      </w:pPr>
      <w:r w:rsidRPr="004C639D">
        <w:rPr>
          <w:b/>
          <w:bCs/>
          <w:sz w:val="28"/>
          <w:szCs w:val="28"/>
        </w:rPr>
        <w:t>Draft Global Minimum Tax Bill</w:t>
      </w:r>
    </w:p>
    <w:p w14:paraId="11660782" w14:textId="676838F3" w:rsidR="00D04944" w:rsidRDefault="00EB6127" w:rsidP="00D04944">
      <w:pPr>
        <w:pStyle w:val="1Section"/>
        <w:numPr>
          <w:ilvl w:val="0"/>
          <w:numId w:val="37"/>
        </w:numPr>
        <w:spacing w:line="276" w:lineRule="auto"/>
        <w:ind w:left="450" w:hanging="360"/>
      </w:pPr>
      <w:bookmarkStart w:id="127" w:name="_Toc180420382"/>
      <w:bookmarkStart w:id="128" w:name="_Toc189212134"/>
      <w:r w:rsidRPr="004C639D">
        <w:t>GLOBAL MINIMUM TAX BILL</w:t>
      </w:r>
      <w:bookmarkEnd w:id="127"/>
      <w:bookmarkEnd w:id="128"/>
    </w:p>
    <w:p w14:paraId="1E157C40" w14:textId="77777777" w:rsidR="00D04944" w:rsidRPr="004C639D" w:rsidRDefault="00D04944" w:rsidP="00403DF5">
      <w:pPr>
        <w:pStyle w:val="1Section"/>
        <w:spacing w:before="0" w:line="276" w:lineRule="auto"/>
        <w:ind w:left="450"/>
      </w:pPr>
    </w:p>
    <w:p w14:paraId="3CEAC181" w14:textId="77777777" w:rsidR="00E75858" w:rsidRPr="00403DF5" w:rsidRDefault="00E75858" w:rsidP="00D04944">
      <w:pPr>
        <w:pStyle w:val="Heading3"/>
        <w:numPr>
          <w:ilvl w:val="1"/>
          <w:numId w:val="37"/>
        </w:numPr>
        <w:spacing w:before="0" w:line="259" w:lineRule="auto"/>
        <w:ind w:left="1134" w:right="153" w:hanging="580"/>
        <w:jc w:val="both"/>
        <w:rPr>
          <w:sz w:val="22"/>
          <w:szCs w:val="22"/>
          <w:lang w:val="en-ZA"/>
        </w:rPr>
      </w:pPr>
      <w:bookmarkStart w:id="129" w:name="_Toc180420383"/>
      <w:bookmarkStart w:id="130" w:name="_Toc189212135"/>
      <w:r w:rsidRPr="00403DF5">
        <w:rPr>
          <w:sz w:val="22"/>
          <w:szCs w:val="22"/>
          <w:lang w:val="en-ZA"/>
        </w:rPr>
        <w:t>Global Minimum Tax (GMT)</w:t>
      </w:r>
      <w:bookmarkEnd w:id="129"/>
      <w:bookmarkEnd w:id="130"/>
    </w:p>
    <w:p w14:paraId="2E50349F" w14:textId="12EA0D48" w:rsidR="6BDE1A3F" w:rsidRPr="003F111D" w:rsidRDefault="1719151F" w:rsidP="003F111D">
      <w:pPr>
        <w:pStyle w:val="BodyText"/>
        <w:spacing w:before="168" w:line="235" w:lineRule="auto"/>
        <w:ind w:left="450" w:right="208"/>
        <w:jc w:val="both"/>
        <w:rPr>
          <w:rFonts w:ascii="Arial" w:hAnsi="Arial" w:cs="Arial"/>
          <w:sz w:val="22"/>
          <w:szCs w:val="22"/>
          <w:lang w:val="en-ZA"/>
        </w:rPr>
      </w:pPr>
      <w:r w:rsidRPr="003F111D">
        <w:rPr>
          <w:rFonts w:ascii="Arial" w:hAnsi="Arial" w:cs="Arial"/>
          <w:sz w:val="22"/>
          <w:szCs w:val="22"/>
          <w:lang w:val="en-ZA"/>
        </w:rPr>
        <w:t xml:space="preserve">(Main reference: Draft </w:t>
      </w:r>
      <w:r w:rsidR="7FF994E7" w:rsidRPr="003F111D">
        <w:rPr>
          <w:rFonts w:ascii="Arial" w:hAnsi="Arial" w:cs="Arial"/>
          <w:sz w:val="22"/>
          <w:szCs w:val="22"/>
          <w:lang w:val="en-ZA"/>
        </w:rPr>
        <w:t>Global Minimum Tax Bill</w:t>
      </w:r>
      <w:r w:rsidRPr="003F111D">
        <w:rPr>
          <w:rFonts w:ascii="Arial" w:hAnsi="Arial" w:cs="Arial"/>
          <w:sz w:val="22"/>
          <w:szCs w:val="22"/>
          <w:lang w:val="en-ZA"/>
        </w:rPr>
        <w:t>)</w:t>
      </w:r>
    </w:p>
    <w:p w14:paraId="42F2C67A" w14:textId="1F238DAA" w:rsidR="53F3C1E6" w:rsidRPr="004C639D" w:rsidRDefault="53F3C1E6" w:rsidP="431ED7B8">
      <w:pPr>
        <w:pStyle w:val="BodyText"/>
        <w:spacing w:before="1" w:line="271" w:lineRule="auto"/>
        <w:ind w:left="492" w:right="152"/>
        <w:jc w:val="both"/>
        <w:rPr>
          <w:lang w:val="en-ZA"/>
        </w:rPr>
      </w:pPr>
    </w:p>
    <w:p w14:paraId="3CA26A22" w14:textId="69A47B9F" w:rsidR="53F3C1E6" w:rsidRPr="00126A15" w:rsidRDefault="76FD4803" w:rsidP="00403DF5">
      <w:pPr>
        <w:pStyle w:val="BodyText"/>
        <w:spacing w:line="271" w:lineRule="auto"/>
        <w:ind w:left="831" w:right="152"/>
        <w:jc w:val="both"/>
        <w:rPr>
          <w:rFonts w:ascii="Arial" w:hAnsi="Arial" w:cs="Arial"/>
          <w:iCs/>
          <w:sz w:val="22"/>
          <w:szCs w:val="22"/>
          <w:lang w:val="en-ZA"/>
        </w:rPr>
      </w:pPr>
      <w:r w:rsidRPr="00126A15">
        <w:rPr>
          <w:rFonts w:ascii="Arial" w:hAnsi="Arial" w:cs="Arial"/>
          <w:iCs/>
          <w:sz w:val="22"/>
          <w:szCs w:val="22"/>
          <w:lang w:val="en-ZA"/>
        </w:rPr>
        <w:t xml:space="preserve">In October 2021 South Africa was one of the 135 Inclusive Framework member countries that agreed to a two-pillar solution to address the challenges of a globalised and digitalised economy. The GloBE Model Rules, which were released in December 2021 are a key component of that agreement. </w:t>
      </w:r>
    </w:p>
    <w:p w14:paraId="03075614" w14:textId="38834951" w:rsidR="53F3C1E6" w:rsidRPr="003F111D" w:rsidRDefault="53F3C1E6" w:rsidP="003F111D">
      <w:pPr>
        <w:pStyle w:val="BodyText"/>
        <w:spacing w:before="1" w:line="271" w:lineRule="auto"/>
        <w:ind w:left="450" w:right="152"/>
        <w:jc w:val="both"/>
        <w:rPr>
          <w:rFonts w:ascii="Arial" w:hAnsi="Arial" w:cs="Arial"/>
          <w:sz w:val="22"/>
          <w:szCs w:val="22"/>
          <w:lang w:val="en-ZA"/>
        </w:rPr>
      </w:pPr>
    </w:p>
    <w:p w14:paraId="422EA648" w14:textId="45A398BC" w:rsidR="53F3C1E6" w:rsidRPr="00126A15" w:rsidRDefault="76FD4803" w:rsidP="00403DF5">
      <w:pPr>
        <w:pStyle w:val="BodyText"/>
        <w:spacing w:line="271" w:lineRule="auto"/>
        <w:ind w:left="831" w:right="152"/>
        <w:jc w:val="both"/>
        <w:rPr>
          <w:rFonts w:ascii="Arial" w:hAnsi="Arial" w:cs="Arial"/>
          <w:iCs/>
          <w:sz w:val="22"/>
          <w:szCs w:val="22"/>
          <w:lang w:val="en-ZA"/>
        </w:rPr>
      </w:pPr>
      <w:r w:rsidRPr="00126A15">
        <w:rPr>
          <w:rFonts w:ascii="Arial" w:hAnsi="Arial" w:cs="Arial"/>
          <w:iCs/>
          <w:sz w:val="22"/>
          <w:szCs w:val="22"/>
          <w:lang w:val="en-ZA"/>
        </w:rPr>
        <w:t xml:space="preserve">These rules that are designed to be introduced into a country’s domestic law and to work together with those of other jurisdictions to create a coordinated and comprehensive system of minimum taxation that ensures large multinational enterprises (MNEs) pay a minimum level of tax on their income in respect of every jurisdiction where they operate. </w:t>
      </w:r>
    </w:p>
    <w:p w14:paraId="5D316923" w14:textId="4D389E47" w:rsidR="53F3C1E6" w:rsidRPr="003F111D" w:rsidRDefault="53F3C1E6" w:rsidP="003F111D">
      <w:pPr>
        <w:pStyle w:val="BodyText"/>
        <w:spacing w:before="1" w:line="271" w:lineRule="auto"/>
        <w:ind w:left="450" w:right="152"/>
        <w:jc w:val="both"/>
        <w:rPr>
          <w:rFonts w:ascii="Arial" w:hAnsi="Arial" w:cs="Arial"/>
          <w:sz w:val="22"/>
          <w:szCs w:val="22"/>
          <w:lang w:val="en-ZA"/>
        </w:rPr>
      </w:pPr>
    </w:p>
    <w:p w14:paraId="39539508" w14:textId="2DB9D999" w:rsidR="53F3C1E6" w:rsidRPr="00126A15" w:rsidRDefault="76FD4803" w:rsidP="00403DF5">
      <w:pPr>
        <w:pStyle w:val="BodyText"/>
        <w:spacing w:line="271" w:lineRule="auto"/>
        <w:ind w:left="831" w:right="152"/>
        <w:jc w:val="both"/>
        <w:rPr>
          <w:rFonts w:ascii="Arial" w:hAnsi="Arial" w:cs="Arial"/>
          <w:iCs/>
          <w:sz w:val="22"/>
          <w:szCs w:val="22"/>
          <w:lang w:val="en-ZA"/>
        </w:rPr>
      </w:pPr>
      <w:r w:rsidRPr="00126A15">
        <w:rPr>
          <w:rFonts w:ascii="Arial" w:hAnsi="Arial" w:cs="Arial"/>
          <w:iCs/>
          <w:sz w:val="22"/>
          <w:szCs w:val="22"/>
          <w:lang w:val="en-ZA"/>
        </w:rPr>
        <w:t>Having been a founding member of the Inclusive Framework and having agreed to the global minimum tax rules in 2021, it makes sense for South Africa to align itself with common approach being adopted by other Inclusive Framework countries and to ensure that South Africa captures its fair share of the revenues to be generated from this global minimum tax.</w:t>
      </w:r>
    </w:p>
    <w:p w14:paraId="539F2D24" w14:textId="0393EFAC" w:rsidR="53F3C1E6" w:rsidRPr="003F111D" w:rsidRDefault="53F3C1E6" w:rsidP="003F111D">
      <w:pPr>
        <w:pStyle w:val="BodyText"/>
        <w:spacing w:before="1" w:line="271" w:lineRule="auto"/>
        <w:ind w:left="450" w:right="152"/>
        <w:jc w:val="both"/>
        <w:rPr>
          <w:rFonts w:ascii="Arial" w:hAnsi="Arial" w:cs="Arial"/>
          <w:sz w:val="22"/>
          <w:szCs w:val="22"/>
          <w:lang w:val="en-ZA"/>
        </w:rPr>
      </w:pPr>
    </w:p>
    <w:p w14:paraId="2183B9C0" w14:textId="5B1090F0" w:rsidR="53F3C1E6" w:rsidRPr="00126A15" w:rsidRDefault="76FD4803" w:rsidP="00403DF5">
      <w:pPr>
        <w:pStyle w:val="BodyText"/>
        <w:spacing w:line="271" w:lineRule="auto"/>
        <w:ind w:left="831" w:right="152"/>
        <w:jc w:val="both"/>
        <w:rPr>
          <w:rFonts w:ascii="Arial" w:hAnsi="Arial" w:cs="Arial"/>
          <w:iCs/>
          <w:sz w:val="22"/>
          <w:szCs w:val="22"/>
          <w:lang w:val="en-ZA"/>
        </w:rPr>
      </w:pPr>
      <w:r w:rsidRPr="00126A15">
        <w:rPr>
          <w:rFonts w:ascii="Arial" w:hAnsi="Arial" w:cs="Arial"/>
          <w:iCs/>
          <w:sz w:val="22"/>
          <w:szCs w:val="22"/>
          <w:lang w:val="en-ZA"/>
        </w:rPr>
        <w:t>The GMT Bill has two components, an Income Inclusion Rule (IIR) that ensures that any low taxed operations of large South African headquartered groups are subject to a minimum effective tax rate of 15% and a Domestic Minimum Top-up Tax (DMTT) that ensures that any large MNE group with operations in South Africa pays tax at an effective rate of 15% on the profits it makes in South Africa.</w:t>
      </w:r>
    </w:p>
    <w:p w14:paraId="31849E48" w14:textId="0CF8810A" w:rsidR="53F3C1E6" w:rsidRPr="003F111D" w:rsidRDefault="53F3C1E6" w:rsidP="003F111D">
      <w:pPr>
        <w:pStyle w:val="BodyText"/>
        <w:spacing w:before="1" w:line="271" w:lineRule="auto"/>
        <w:ind w:left="450" w:right="152"/>
        <w:jc w:val="both"/>
        <w:rPr>
          <w:rFonts w:ascii="Arial" w:hAnsi="Arial" w:cs="Arial"/>
          <w:sz w:val="22"/>
          <w:szCs w:val="22"/>
          <w:lang w:val="en-ZA"/>
        </w:rPr>
      </w:pPr>
    </w:p>
    <w:p w14:paraId="6951AF0E" w14:textId="1BB9519D" w:rsidR="53F3C1E6" w:rsidRDefault="76FD4803" w:rsidP="00126A15">
      <w:pPr>
        <w:pStyle w:val="BodyText"/>
        <w:spacing w:line="271" w:lineRule="auto"/>
        <w:ind w:left="831" w:right="152"/>
        <w:jc w:val="both"/>
        <w:rPr>
          <w:rFonts w:ascii="Arial" w:hAnsi="Arial" w:cs="Arial"/>
          <w:iCs/>
          <w:sz w:val="22"/>
          <w:szCs w:val="22"/>
          <w:lang w:val="en-ZA"/>
        </w:rPr>
      </w:pPr>
      <w:r w:rsidRPr="00126A15">
        <w:rPr>
          <w:rFonts w:ascii="Arial" w:hAnsi="Arial" w:cs="Arial"/>
          <w:iCs/>
          <w:sz w:val="22"/>
          <w:szCs w:val="22"/>
          <w:lang w:val="en-ZA"/>
        </w:rPr>
        <w:t xml:space="preserve">The OECD estimates that, by putting a floor under tax competition, these rules could result in an increase in global tax revenues of between USD 155-192 billion per year.  </w:t>
      </w:r>
    </w:p>
    <w:p w14:paraId="20D939B8" w14:textId="77777777" w:rsidR="00126A15" w:rsidRPr="00126A15" w:rsidRDefault="00126A15" w:rsidP="00403DF5">
      <w:pPr>
        <w:pStyle w:val="BodyText"/>
        <w:spacing w:line="271" w:lineRule="auto"/>
        <w:ind w:left="831" w:right="152"/>
        <w:jc w:val="both"/>
        <w:rPr>
          <w:rFonts w:ascii="Arial" w:hAnsi="Arial" w:cs="Arial"/>
          <w:iCs/>
          <w:sz w:val="22"/>
          <w:szCs w:val="22"/>
          <w:lang w:val="en-ZA"/>
        </w:rPr>
      </w:pPr>
    </w:p>
    <w:p w14:paraId="44EB4A3B" w14:textId="7F222BCF" w:rsidR="53F3C1E6" w:rsidRPr="00126A15" w:rsidRDefault="76FD4803" w:rsidP="00403DF5">
      <w:pPr>
        <w:pStyle w:val="BodyText"/>
        <w:spacing w:line="271" w:lineRule="auto"/>
        <w:ind w:left="831" w:right="152"/>
        <w:jc w:val="both"/>
        <w:rPr>
          <w:rFonts w:ascii="Arial" w:hAnsi="Arial" w:cs="Arial"/>
          <w:iCs/>
          <w:sz w:val="22"/>
          <w:szCs w:val="22"/>
          <w:lang w:val="en-ZA"/>
        </w:rPr>
      </w:pPr>
      <w:r w:rsidRPr="00126A15">
        <w:rPr>
          <w:rFonts w:ascii="Arial" w:hAnsi="Arial" w:cs="Arial"/>
          <w:iCs/>
          <w:sz w:val="22"/>
          <w:szCs w:val="22"/>
          <w:lang w:val="en-ZA"/>
        </w:rPr>
        <w:t>South Africa stated in the Budget Review that it expects to increase tax collection by R8 billion in 2026/27.</w:t>
      </w:r>
    </w:p>
    <w:p w14:paraId="4E6AFA0D" w14:textId="22F93CA9" w:rsidR="53F3C1E6" w:rsidRPr="003F111D" w:rsidRDefault="53F3C1E6" w:rsidP="003F111D">
      <w:pPr>
        <w:pStyle w:val="BodyText"/>
        <w:spacing w:before="1" w:line="271" w:lineRule="auto"/>
        <w:ind w:left="450" w:right="152"/>
        <w:jc w:val="both"/>
        <w:rPr>
          <w:rFonts w:ascii="Arial" w:hAnsi="Arial" w:cs="Arial"/>
          <w:sz w:val="22"/>
          <w:szCs w:val="22"/>
          <w:lang w:val="en-ZA"/>
        </w:rPr>
      </w:pPr>
    </w:p>
    <w:p w14:paraId="5CB4384A" w14:textId="7F855AFA" w:rsidR="53F3C1E6" w:rsidRPr="00126A15" w:rsidRDefault="76FD4803" w:rsidP="00403DF5">
      <w:pPr>
        <w:pStyle w:val="BodyText"/>
        <w:spacing w:line="271" w:lineRule="auto"/>
        <w:ind w:left="831" w:right="152"/>
        <w:jc w:val="both"/>
        <w:rPr>
          <w:rFonts w:ascii="Arial" w:hAnsi="Arial" w:cs="Arial"/>
          <w:iCs/>
          <w:sz w:val="22"/>
          <w:szCs w:val="22"/>
          <w:lang w:val="en-ZA"/>
        </w:rPr>
      </w:pPr>
      <w:r w:rsidRPr="00126A15">
        <w:rPr>
          <w:rFonts w:ascii="Arial" w:hAnsi="Arial" w:cs="Arial"/>
          <w:iCs/>
          <w:sz w:val="22"/>
          <w:szCs w:val="22"/>
          <w:lang w:val="en-ZA"/>
        </w:rPr>
        <w:t xml:space="preserve">The GMT Bill will incorporate the Model Rules and Commentary by reference giving the legal effect in South African law. This incorporation by reference approach, which has been adopted in other countries such as Switzerland and New Zealand, simplify the implementation of the rules and makes it easier for MNEs to comply – avoiding the risk of differences that could arise in translating the full text of the model rules into domestic law.  </w:t>
      </w:r>
    </w:p>
    <w:p w14:paraId="370A5846" w14:textId="6B7DFAE7" w:rsidR="4662413E" w:rsidRPr="004C639D" w:rsidRDefault="4662413E" w:rsidP="4662413E">
      <w:pPr>
        <w:pStyle w:val="BodyText"/>
        <w:spacing w:before="1" w:line="271" w:lineRule="auto"/>
        <w:ind w:left="492" w:right="152"/>
        <w:jc w:val="both"/>
        <w:rPr>
          <w:lang w:val="en-ZA"/>
        </w:rPr>
      </w:pPr>
    </w:p>
    <w:p w14:paraId="1D32C27E" w14:textId="2084009D" w:rsidR="4662413E" w:rsidRPr="00403DF5" w:rsidRDefault="1AB7FAB0" w:rsidP="003F111D">
      <w:pPr>
        <w:pStyle w:val="BodyText"/>
        <w:spacing w:line="271" w:lineRule="auto"/>
        <w:ind w:left="492" w:right="153"/>
        <w:jc w:val="both"/>
        <w:rPr>
          <w:rFonts w:ascii="Arial" w:eastAsia="Arial" w:hAnsi="Arial" w:cs="Arial"/>
          <w:color w:val="000000"/>
          <w:sz w:val="22"/>
          <w:szCs w:val="22"/>
          <w:lang w:val="en-ZA" w:eastAsia="en-ZA"/>
        </w:rPr>
      </w:pPr>
      <w:r w:rsidRPr="003F111D">
        <w:rPr>
          <w:rFonts w:ascii="Arial" w:hAnsi="Arial" w:cs="Arial"/>
          <w:i/>
          <w:sz w:val="22"/>
          <w:szCs w:val="22"/>
          <w:lang w:val="en-ZA"/>
        </w:rPr>
        <w:t xml:space="preserve">Comment: </w:t>
      </w:r>
      <w:r w:rsidRPr="00403DF5">
        <w:rPr>
          <w:rFonts w:ascii="Arial" w:eastAsia="Arial" w:hAnsi="Arial" w:cs="Arial"/>
          <w:color w:val="000000"/>
          <w:sz w:val="22"/>
          <w:szCs w:val="22"/>
          <w:lang w:val="en-ZA" w:eastAsia="en-ZA"/>
        </w:rPr>
        <w:t>The Corporate Income Tax return which includes a section 9D of the imputation of net income of controlled foreign companies, must be submitted locally within 12 months after the financial year-end of the South African resident taxpayer. According to the GloBE Model Rules and the Draft Global Minimum Tax Administration Bill, the timing for determining the global minimum tax must be set within 15 months following the relevant financial year and thus creating a timing mismatch.</w:t>
      </w:r>
    </w:p>
    <w:p w14:paraId="5D7D6A27" w14:textId="77777777" w:rsidR="4662413E" w:rsidRPr="004C639D" w:rsidRDefault="4662413E" w:rsidP="3CF74561">
      <w:pPr>
        <w:pStyle w:val="BodyText"/>
        <w:spacing w:before="1" w:line="271" w:lineRule="auto"/>
        <w:ind w:left="492" w:right="153"/>
        <w:jc w:val="both"/>
        <w:rPr>
          <w:lang w:val="en-ZA"/>
        </w:rPr>
      </w:pPr>
    </w:p>
    <w:p w14:paraId="6714C957" w14:textId="2036998E" w:rsidR="4662413E" w:rsidRPr="003F111D" w:rsidRDefault="1AB7FAB0" w:rsidP="003F111D">
      <w:pPr>
        <w:pStyle w:val="BodyText"/>
        <w:spacing w:line="271" w:lineRule="auto"/>
        <w:ind w:left="831" w:right="152"/>
        <w:jc w:val="both"/>
        <w:rPr>
          <w:rFonts w:ascii="Arial" w:hAnsi="Arial" w:cs="Arial"/>
          <w:sz w:val="22"/>
          <w:szCs w:val="22"/>
          <w:lang w:val="en-ZA"/>
        </w:rPr>
      </w:pPr>
      <w:r w:rsidRPr="003F111D">
        <w:rPr>
          <w:rFonts w:ascii="Arial" w:hAnsi="Arial" w:cs="Arial"/>
          <w:i/>
          <w:sz w:val="22"/>
          <w:szCs w:val="22"/>
          <w:lang w:val="en-ZA"/>
        </w:rPr>
        <w:t xml:space="preserve">Response: </w:t>
      </w:r>
      <w:r w:rsidR="43FD6FD3" w:rsidRPr="003F111D">
        <w:rPr>
          <w:rFonts w:ascii="Arial" w:hAnsi="Arial" w:cs="Arial"/>
          <w:sz w:val="22"/>
          <w:szCs w:val="22"/>
          <w:u w:val="single"/>
          <w:lang w:val="en-ZA"/>
        </w:rPr>
        <w:t>Noted</w:t>
      </w:r>
      <w:r w:rsidRPr="003F111D">
        <w:rPr>
          <w:rFonts w:ascii="Arial" w:hAnsi="Arial" w:cs="Arial"/>
          <w:sz w:val="22"/>
          <w:szCs w:val="22"/>
          <w:lang w:val="en-ZA"/>
        </w:rPr>
        <w:t>.</w:t>
      </w:r>
      <w:r w:rsidR="4E0099A0" w:rsidRPr="003F111D">
        <w:rPr>
          <w:rFonts w:ascii="Arial" w:hAnsi="Arial" w:cs="Arial"/>
          <w:sz w:val="22"/>
          <w:szCs w:val="22"/>
          <w:lang w:val="en-ZA"/>
        </w:rPr>
        <w:t xml:space="preserve"> It is recommended that the South African resident taxpayer should reopen their tax return and update only the foreign tax credit section with the additional tax incurred. The reason for this correction should be stated as due to the DMTT.</w:t>
      </w:r>
    </w:p>
    <w:p w14:paraId="7346E658" w14:textId="0F916444" w:rsidR="4662413E" w:rsidRPr="004C639D" w:rsidRDefault="4662413E" w:rsidP="4662413E">
      <w:pPr>
        <w:pStyle w:val="BodyText"/>
        <w:spacing w:before="1" w:line="271" w:lineRule="auto"/>
        <w:ind w:left="492" w:right="152"/>
        <w:jc w:val="both"/>
        <w:rPr>
          <w:lang w:val="en-ZA"/>
        </w:rPr>
      </w:pPr>
    </w:p>
    <w:p w14:paraId="486F7210" w14:textId="57217FCF" w:rsidR="53F3C1E6" w:rsidRPr="003F111D" w:rsidRDefault="1AB7FAB0" w:rsidP="003F111D">
      <w:pPr>
        <w:pStyle w:val="BodyText"/>
        <w:spacing w:line="271" w:lineRule="auto"/>
        <w:ind w:left="492" w:right="153"/>
        <w:jc w:val="both"/>
        <w:rPr>
          <w:rFonts w:ascii="Arial" w:hAnsi="Arial" w:cs="Arial"/>
          <w:sz w:val="22"/>
          <w:szCs w:val="22"/>
          <w:lang w:val="en-ZA"/>
        </w:rPr>
      </w:pPr>
      <w:r w:rsidRPr="003F111D">
        <w:rPr>
          <w:rFonts w:ascii="Arial" w:hAnsi="Arial" w:cs="Arial"/>
          <w:i/>
          <w:sz w:val="22"/>
          <w:szCs w:val="22"/>
          <w:lang w:val="en-ZA"/>
        </w:rPr>
        <w:t xml:space="preserve">Comment: </w:t>
      </w:r>
      <w:r w:rsidR="6830315C" w:rsidRPr="003F111D">
        <w:rPr>
          <w:rFonts w:ascii="Arial" w:hAnsi="Arial" w:cs="Arial"/>
          <w:sz w:val="22"/>
          <w:szCs w:val="22"/>
          <w:lang w:val="en-ZA"/>
        </w:rPr>
        <w:t>Life insurance companies commonly hold significant investments in investment funds. The income from these investments is principally used to meet their liabilities to policyholders. These investment funds are often consolidated into the life insurer’s consolidated financial statements and are therefore treated as a Constituent Entity of the MNE Group for the purposes of the GloBE Rules.</w:t>
      </w:r>
    </w:p>
    <w:p w14:paraId="32DA74BC" w14:textId="427B2FDA" w:rsidR="746A2481" w:rsidRPr="003F111D" w:rsidRDefault="746A2481" w:rsidP="003F111D">
      <w:pPr>
        <w:pStyle w:val="BodyText"/>
        <w:spacing w:line="271" w:lineRule="auto"/>
        <w:ind w:left="492" w:right="153"/>
        <w:jc w:val="both"/>
        <w:rPr>
          <w:rFonts w:ascii="Arial" w:hAnsi="Arial" w:cs="Arial"/>
          <w:i/>
          <w:sz w:val="22"/>
          <w:szCs w:val="22"/>
          <w:lang w:val="en-ZA"/>
        </w:rPr>
      </w:pPr>
    </w:p>
    <w:p w14:paraId="341C4A48" w14:textId="259D6AA6" w:rsidR="4D74AF98" w:rsidRPr="003F111D" w:rsidRDefault="6830315C" w:rsidP="003F111D">
      <w:pPr>
        <w:pStyle w:val="BodyText"/>
        <w:spacing w:line="271" w:lineRule="auto"/>
        <w:ind w:left="492" w:right="153"/>
        <w:jc w:val="both"/>
        <w:rPr>
          <w:rFonts w:ascii="Arial" w:hAnsi="Arial" w:cs="Arial"/>
          <w:sz w:val="22"/>
          <w:szCs w:val="22"/>
          <w:lang w:val="en-ZA"/>
        </w:rPr>
      </w:pPr>
      <w:r w:rsidRPr="003F111D">
        <w:rPr>
          <w:rFonts w:ascii="Arial" w:hAnsi="Arial" w:cs="Arial"/>
          <w:sz w:val="22"/>
          <w:szCs w:val="22"/>
          <w:lang w:val="en-ZA"/>
        </w:rPr>
        <w:t xml:space="preserve">There is uncertainty on whether Article 7.5 that allows a filing constituent entity to make an election to treat an investment entity (including an insurance investment entity) as a tax transparent entity under the GloBE Rules in the GloBE Model Rules for the corporate fund that is taxed on a mark-to-market basis at 27 per cent,  the untaxed policyholder fund and risk policy fund that are exempt from tax.  </w:t>
      </w:r>
    </w:p>
    <w:p w14:paraId="0427AF8A" w14:textId="77777777" w:rsidR="53F3C1E6" w:rsidRPr="004C639D" w:rsidRDefault="53F3C1E6" w:rsidP="4B3825B9">
      <w:pPr>
        <w:pStyle w:val="BodyText"/>
        <w:spacing w:before="1" w:line="271" w:lineRule="auto"/>
        <w:ind w:left="492" w:right="153"/>
        <w:jc w:val="both"/>
        <w:rPr>
          <w:lang w:val="en-ZA"/>
        </w:rPr>
      </w:pPr>
    </w:p>
    <w:p w14:paraId="243AB5FE" w14:textId="7CD5796A" w:rsidR="53F3C1E6" w:rsidRPr="003F111D" w:rsidRDefault="1AB7FAB0" w:rsidP="003F111D">
      <w:pPr>
        <w:pStyle w:val="BodyText"/>
        <w:spacing w:line="271" w:lineRule="auto"/>
        <w:ind w:left="831" w:right="152"/>
        <w:jc w:val="both"/>
        <w:rPr>
          <w:rFonts w:ascii="Arial" w:hAnsi="Arial" w:cs="Arial"/>
          <w:i/>
          <w:sz w:val="22"/>
          <w:szCs w:val="22"/>
          <w:lang w:val="en-ZA"/>
        </w:rPr>
      </w:pPr>
      <w:r w:rsidRPr="003F111D">
        <w:rPr>
          <w:rFonts w:ascii="Arial" w:hAnsi="Arial" w:cs="Arial"/>
          <w:i/>
          <w:sz w:val="22"/>
          <w:szCs w:val="22"/>
          <w:lang w:val="en-ZA"/>
        </w:rPr>
        <w:t xml:space="preserve">Response: </w:t>
      </w:r>
      <w:r w:rsidR="379D4C30" w:rsidRPr="003F111D">
        <w:rPr>
          <w:rFonts w:ascii="Arial" w:hAnsi="Arial" w:cs="Arial"/>
          <w:sz w:val="22"/>
          <w:szCs w:val="22"/>
          <w:u w:val="single"/>
          <w:lang w:val="en-ZA"/>
        </w:rPr>
        <w:t>Noted</w:t>
      </w:r>
      <w:r w:rsidRPr="003F111D">
        <w:rPr>
          <w:rFonts w:ascii="Arial" w:hAnsi="Arial" w:cs="Arial"/>
          <w:sz w:val="22"/>
          <w:szCs w:val="22"/>
          <w:lang w:val="en-ZA"/>
        </w:rPr>
        <w:t>.</w:t>
      </w:r>
      <w:r w:rsidR="2273350E" w:rsidRPr="003F111D">
        <w:rPr>
          <w:rFonts w:ascii="Arial" w:hAnsi="Arial" w:cs="Arial"/>
          <w:sz w:val="22"/>
          <w:szCs w:val="22"/>
          <w:lang w:val="en-ZA"/>
        </w:rPr>
        <w:t xml:space="preserve"> After consultations with the OECD, Government considers that the Article 7.5 election can be made in these circumstances. This is because the life insurance taxation rules ensure that the MNE Group’s income from the Investment Entity is subject to tax on an annual basis at 27%. While the income from the untaxed policyholder fund and risk policy fund are not subject to tax on a mark-to-market basis, this income is not included in the life insurer’s GloBE Income or Loss because the income is fully offset by the expenses from the movement in the life insurer’s liabilities to its policyholders and is therefore not relevant for the purposes of testing whether the conditions in the Article 7.5 election are met.</w:t>
      </w:r>
    </w:p>
    <w:p w14:paraId="0D888984" w14:textId="4CE8C7A3" w:rsidR="53F3C1E6" w:rsidRPr="004C639D" w:rsidRDefault="53F3C1E6" w:rsidP="4B3825B9">
      <w:pPr>
        <w:pStyle w:val="BodyText"/>
        <w:spacing w:before="1" w:line="271" w:lineRule="auto"/>
        <w:ind w:left="831" w:right="152"/>
        <w:jc w:val="both"/>
        <w:rPr>
          <w:rFonts w:ascii="Arial"/>
          <w:lang w:val="en-ZA"/>
        </w:rPr>
      </w:pPr>
    </w:p>
    <w:p w14:paraId="6093A6B7" w14:textId="304F633F" w:rsidR="53F3C1E6" w:rsidRPr="003F111D" w:rsidRDefault="1AB7FAB0" w:rsidP="56D0C943">
      <w:pPr>
        <w:pStyle w:val="BodyText"/>
        <w:spacing w:before="1" w:line="271" w:lineRule="auto"/>
        <w:ind w:left="492" w:right="153"/>
        <w:jc w:val="both"/>
        <w:rPr>
          <w:rFonts w:ascii="Arial" w:hAnsi="Arial" w:cs="Arial"/>
          <w:sz w:val="22"/>
          <w:szCs w:val="22"/>
          <w:lang w:val="en-ZA"/>
        </w:rPr>
      </w:pPr>
      <w:r w:rsidRPr="003F111D">
        <w:rPr>
          <w:rFonts w:ascii="Arial" w:hAnsi="Arial" w:cs="Arial"/>
          <w:i/>
          <w:sz w:val="22"/>
          <w:szCs w:val="22"/>
          <w:lang w:val="en-ZA"/>
        </w:rPr>
        <w:t>Comment:</w:t>
      </w:r>
      <w:r w:rsidR="2AF7952E" w:rsidRPr="003F111D">
        <w:rPr>
          <w:rFonts w:ascii="Arial" w:hAnsi="Arial" w:cs="Arial"/>
          <w:sz w:val="22"/>
          <w:szCs w:val="22"/>
          <w:lang w:val="en-ZA"/>
        </w:rPr>
        <w:t xml:space="preserve"> The implementation of the GMT starting January 1, 2024, means that MNE Groups with financial year-ends on December 31 will be subject to GMT on their GloBE Income, even before the legislation is finalised and approved by Parliament. The implementation of the GMT starting January 1, 2024, means that MNE Groups with financial year-ends on December 31 will be subject to GMT on their GloBE Income, even before the legislation is finalised and approved by Parliament.</w:t>
      </w:r>
    </w:p>
    <w:p w14:paraId="7B8EF9AF" w14:textId="1D1BBA31" w:rsidR="53F3C1E6" w:rsidRPr="004C639D" w:rsidRDefault="53F3C1E6" w:rsidP="56D0C943">
      <w:pPr>
        <w:pStyle w:val="BodyText"/>
        <w:spacing w:before="1" w:line="271" w:lineRule="auto"/>
        <w:ind w:left="492" w:right="153"/>
        <w:jc w:val="both"/>
        <w:rPr>
          <w:lang w:val="en-ZA"/>
        </w:rPr>
      </w:pPr>
    </w:p>
    <w:p w14:paraId="5F93764B" w14:textId="2F2E042D" w:rsidR="000F7406" w:rsidRPr="003F111D" w:rsidRDefault="000F7406" w:rsidP="003F111D">
      <w:pPr>
        <w:pStyle w:val="BodyText"/>
        <w:spacing w:line="271" w:lineRule="auto"/>
        <w:ind w:left="831" w:right="152"/>
        <w:jc w:val="both"/>
        <w:rPr>
          <w:rFonts w:ascii="Arial" w:hAnsi="Arial" w:cs="Arial"/>
          <w:i/>
          <w:sz w:val="22"/>
          <w:szCs w:val="22"/>
          <w:lang w:val="en-ZA"/>
        </w:rPr>
      </w:pPr>
      <w:r w:rsidRPr="003F111D">
        <w:rPr>
          <w:rFonts w:ascii="Arial" w:hAnsi="Arial" w:cs="Arial"/>
          <w:i/>
          <w:sz w:val="22"/>
          <w:szCs w:val="22"/>
          <w:lang w:val="en-ZA"/>
        </w:rPr>
        <w:t xml:space="preserve">Response: </w:t>
      </w:r>
      <w:r w:rsidRPr="003F111D">
        <w:rPr>
          <w:rFonts w:ascii="Arial" w:hAnsi="Arial" w:cs="Arial"/>
          <w:sz w:val="22"/>
          <w:szCs w:val="22"/>
          <w:u w:val="single"/>
          <w:lang w:val="en-ZA"/>
        </w:rPr>
        <w:t>Not accepted</w:t>
      </w:r>
      <w:r w:rsidRPr="003F111D">
        <w:rPr>
          <w:rFonts w:ascii="Arial" w:hAnsi="Arial" w:cs="Arial"/>
          <w:sz w:val="22"/>
          <w:szCs w:val="22"/>
          <w:lang w:val="en-ZA"/>
        </w:rPr>
        <w:t>.</w:t>
      </w:r>
      <w:r w:rsidRPr="003F111D">
        <w:rPr>
          <w:rFonts w:ascii="Arial" w:hAnsi="Arial" w:cs="Arial"/>
          <w:i/>
          <w:sz w:val="22"/>
          <w:szCs w:val="22"/>
          <w:lang w:val="en-ZA"/>
        </w:rPr>
        <w:t xml:space="preserve"> </w:t>
      </w:r>
      <w:r w:rsidR="00D86C96" w:rsidRPr="00D86C96">
        <w:rPr>
          <w:rFonts w:ascii="Arial" w:hAnsi="Arial" w:cs="Arial"/>
          <w:iCs/>
          <w:sz w:val="22"/>
          <w:szCs w:val="22"/>
          <w:lang w:val="en-ZA"/>
        </w:rPr>
        <w:t>South Africa's intention to implement the GloBE rules has been long stated in Budget documentation. Implementing it at a later date would mean that jurisdictions that have implemented the Income Inclusion Rule would be in the position to levy tax on income in South Africa that has not been subject to GloBE minimum tax of 15 per cent. From the technical perspective, the tax under the GMT Bill is determined at the end of the fiscal year and if the legislation is place before that date it is not retrospective. In addition, a period of 18 months is allowed  to file the relevant returns. Finally, it should be noted that South Africa is not alone in legislating for this tax for in 2024 , with Australia and Canada finalising their legislation after 1 Jan 2024 .</w:t>
      </w:r>
    </w:p>
    <w:p w14:paraId="45745243" w14:textId="676E1ABA" w:rsidR="53F3C1E6" w:rsidRPr="004C639D" w:rsidRDefault="53F3C1E6" w:rsidP="410B4477">
      <w:pPr>
        <w:pStyle w:val="BodyText"/>
        <w:spacing w:before="1" w:line="271" w:lineRule="auto"/>
        <w:ind w:left="492" w:right="153"/>
        <w:jc w:val="both"/>
        <w:rPr>
          <w:lang w:val="en-ZA"/>
        </w:rPr>
      </w:pPr>
    </w:p>
    <w:p w14:paraId="1A9A0958" w14:textId="19B9E739" w:rsidR="53F3C1E6" w:rsidRPr="003F111D" w:rsidRDefault="4FBBFF81" w:rsidP="13CD0F8D">
      <w:pPr>
        <w:pStyle w:val="BodyText"/>
        <w:spacing w:before="1" w:line="271" w:lineRule="auto"/>
        <w:ind w:left="492" w:right="153"/>
        <w:jc w:val="both"/>
        <w:rPr>
          <w:rFonts w:ascii="Arial" w:hAnsi="Arial" w:cs="Arial"/>
          <w:i/>
          <w:sz w:val="22"/>
          <w:szCs w:val="22"/>
          <w:lang w:val="en-ZA"/>
        </w:rPr>
      </w:pPr>
      <w:r w:rsidRPr="003F111D">
        <w:rPr>
          <w:rFonts w:ascii="Arial" w:hAnsi="Arial" w:cs="Arial"/>
          <w:i/>
          <w:sz w:val="22"/>
          <w:szCs w:val="22"/>
          <w:lang w:val="en-ZA"/>
        </w:rPr>
        <w:t xml:space="preserve">Comment: </w:t>
      </w:r>
      <w:r w:rsidR="6A2690DA" w:rsidRPr="003F111D">
        <w:rPr>
          <w:rFonts w:ascii="Arial" w:hAnsi="Arial" w:cs="Arial"/>
          <w:sz w:val="22"/>
          <w:szCs w:val="22"/>
          <w:lang w:val="en-ZA"/>
        </w:rPr>
        <w:t>Currently, there are 17 MNEs in South Africa that meet the EUR 750 million threshold, making them subject to the GMT.</w:t>
      </w:r>
    </w:p>
    <w:p w14:paraId="6D037F51" w14:textId="77777777" w:rsidR="53F3C1E6" w:rsidRPr="004C639D" w:rsidRDefault="53F3C1E6" w:rsidP="13CD0F8D">
      <w:pPr>
        <w:pStyle w:val="BodyText"/>
        <w:spacing w:before="1" w:line="271" w:lineRule="auto"/>
        <w:ind w:left="492" w:right="153"/>
        <w:jc w:val="both"/>
        <w:rPr>
          <w:lang w:val="en-ZA"/>
        </w:rPr>
      </w:pPr>
    </w:p>
    <w:p w14:paraId="433E8230" w14:textId="03F096AA" w:rsidR="53F3C1E6" w:rsidRPr="003F111D" w:rsidRDefault="4FBBFF81" w:rsidP="003F111D">
      <w:pPr>
        <w:pStyle w:val="BodyText"/>
        <w:spacing w:line="271" w:lineRule="auto"/>
        <w:ind w:left="831" w:right="152"/>
        <w:jc w:val="both"/>
        <w:rPr>
          <w:rFonts w:ascii="Arial" w:hAnsi="Arial" w:cs="Arial"/>
          <w:i/>
          <w:sz w:val="22"/>
          <w:szCs w:val="22"/>
          <w:lang w:val="en-ZA"/>
        </w:rPr>
      </w:pPr>
      <w:bookmarkStart w:id="131" w:name="_Hlk180353444"/>
      <w:r w:rsidRPr="003F111D">
        <w:rPr>
          <w:rFonts w:ascii="Arial" w:hAnsi="Arial" w:cs="Arial"/>
          <w:i/>
          <w:sz w:val="22"/>
          <w:szCs w:val="22"/>
          <w:lang w:val="en-ZA"/>
        </w:rPr>
        <w:t xml:space="preserve">Response: </w:t>
      </w:r>
      <w:r w:rsidR="17A8ECC7" w:rsidRPr="003F111D">
        <w:rPr>
          <w:rFonts w:ascii="Arial" w:hAnsi="Arial" w:cs="Arial"/>
          <w:sz w:val="22"/>
          <w:szCs w:val="22"/>
          <w:u w:val="single"/>
          <w:lang w:val="en-ZA"/>
        </w:rPr>
        <w:t>Not</w:t>
      </w:r>
      <w:r w:rsidRPr="003F111D">
        <w:rPr>
          <w:rFonts w:ascii="Arial" w:hAnsi="Arial" w:cs="Arial"/>
          <w:sz w:val="22"/>
          <w:szCs w:val="22"/>
          <w:u w:val="single"/>
          <w:lang w:val="en-ZA"/>
        </w:rPr>
        <w:t xml:space="preserve"> accepted</w:t>
      </w:r>
      <w:r w:rsidRPr="003F111D">
        <w:rPr>
          <w:rFonts w:ascii="Arial" w:hAnsi="Arial" w:cs="Arial"/>
          <w:sz w:val="22"/>
          <w:szCs w:val="22"/>
          <w:lang w:val="en-ZA"/>
        </w:rPr>
        <w:t xml:space="preserve">. </w:t>
      </w:r>
      <w:r w:rsidR="7870CB75" w:rsidRPr="003F111D">
        <w:rPr>
          <w:rFonts w:ascii="Arial" w:hAnsi="Arial" w:cs="Arial"/>
          <w:sz w:val="22"/>
          <w:szCs w:val="22"/>
          <w:lang w:val="en-ZA"/>
        </w:rPr>
        <w:t>This figure isn’t entirely accurate; we actually have around 44 companies that meet this threshold.</w:t>
      </w:r>
    </w:p>
    <w:bookmarkEnd w:id="131"/>
    <w:p w14:paraId="740B0E4F" w14:textId="5B0037F6" w:rsidR="53F3C1E6" w:rsidRPr="004C639D" w:rsidRDefault="53F3C1E6" w:rsidP="01F429F7">
      <w:pPr>
        <w:pStyle w:val="BodyText"/>
        <w:spacing w:before="1" w:line="271" w:lineRule="auto"/>
        <w:ind w:left="831" w:right="152"/>
        <w:jc w:val="both"/>
        <w:rPr>
          <w:rFonts w:ascii="Arial"/>
          <w:lang w:val="en-ZA"/>
        </w:rPr>
      </w:pPr>
    </w:p>
    <w:p w14:paraId="090AAE13" w14:textId="07D271EE" w:rsidR="53F3C1E6" w:rsidRPr="003F111D" w:rsidRDefault="7870CB75" w:rsidP="47C7CD62">
      <w:pPr>
        <w:pStyle w:val="BodyText"/>
        <w:spacing w:before="1" w:line="271" w:lineRule="auto"/>
        <w:ind w:left="492" w:right="153"/>
        <w:jc w:val="both"/>
        <w:rPr>
          <w:rFonts w:ascii="Arial" w:hAnsi="Arial" w:cs="Arial"/>
          <w:i/>
          <w:sz w:val="22"/>
          <w:szCs w:val="22"/>
          <w:lang w:val="en-ZA"/>
        </w:rPr>
      </w:pPr>
      <w:r w:rsidRPr="003F111D">
        <w:rPr>
          <w:rFonts w:ascii="Arial" w:hAnsi="Arial" w:cs="Arial"/>
          <w:i/>
          <w:sz w:val="22"/>
          <w:szCs w:val="22"/>
          <w:lang w:val="en-ZA"/>
        </w:rPr>
        <w:t xml:space="preserve">Comment: </w:t>
      </w:r>
      <w:r w:rsidRPr="003F111D">
        <w:rPr>
          <w:rFonts w:ascii="Arial" w:hAnsi="Arial" w:cs="Arial"/>
          <w:sz w:val="22"/>
          <w:szCs w:val="22"/>
          <w:lang w:val="en-ZA"/>
        </w:rPr>
        <w:t>There needs to be more coordination between the Department of International Relations and Co-operation (DIRCO) and the National Treasury to ensure that South Africa’s proposals are in line with the Africa Group, and that South Africa takes a leading role in making the UN Tax Convention into the authoritative body for global tax reform.</w:t>
      </w:r>
    </w:p>
    <w:p w14:paraId="7C2577AB" w14:textId="77777777" w:rsidR="53F3C1E6" w:rsidRPr="004C639D" w:rsidRDefault="53F3C1E6" w:rsidP="01F429F7">
      <w:pPr>
        <w:pStyle w:val="BodyText"/>
        <w:spacing w:before="1" w:line="271" w:lineRule="auto"/>
        <w:ind w:left="492" w:right="153"/>
        <w:jc w:val="both"/>
        <w:rPr>
          <w:lang w:val="en-ZA"/>
        </w:rPr>
      </w:pPr>
    </w:p>
    <w:p w14:paraId="264B1B8D" w14:textId="78F762CB" w:rsidR="53F3C1E6" w:rsidRPr="003F111D" w:rsidRDefault="7870CB75" w:rsidP="003F111D">
      <w:pPr>
        <w:pStyle w:val="BodyText"/>
        <w:spacing w:line="271" w:lineRule="auto"/>
        <w:ind w:left="831" w:right="152"/>
        <w:jc w:val="both"/>
        <w:rPr>
          <w:rFonts w:ascii="Arial" w:hAnsi="Arial" w:cs="Arial"/>
          <w:i/>
          <w:sz w:val="22"/>
          <w:szCs w:val="22"/>
          <w:lang w:val="en-ZA"/>
        </w:rPr>
      </w:pPr>
      <w:r w:rsidRPr="003F111D">
        <w:rPr>
          <w:rFonts w:ascii="Arial" w:hAnsi="Arial" w:cs="Arial"/>
          <w:i/>
          <w:sz w:val="22"/>
          <w:szCs w:val="22"/>
          <w:lang w:val="en-ZA"/>
        </w:rPr>
        <w:t xml:space="preserve">Response: </w:t>
      </w:r>
      <w:r w:rsidR="5A1EF872" w:rsidRPr="003F111D">
        <w:rPr>
          <w:rFonts w:ascii="Arial" w:hAnsi="Arial" w:cs="Arial"/>
          <w:sz w:val="22"/>
          <w:szCs w:val="22"/>
          <w:u w:val="single"/>
          <w:lang w:val="en-ZA"/>
        </w:rPr>
        <w:t xml:space="preserve">Comment </w:t>
      </w:r>
      <w:r w:rsidR="6C383757" w:rsidRPr="003F111D">
        <w:rPr>
          <w:rFonts w:ascii="Arial" w:hAnsi="Arial" w:cs="Arial"/>
          <w:sz w:val="22"/>
          <w:szCs w:val="22"/>
          <w:u w:val="single"/>
          <w:lang w:val="en-ZA"/>
        </w:rPr>
        <w:t>mi</w:t>
      </w:r>
      <w:r w:rsidR="5A1EF872" w:rsidRPr="003F111D">
        <w:rPr>
          <w:rFonts w:ascii="Arial" w:hAnsi="Arial" w:cs="Arial"/>
          <w:sz w:val="22"/>
          <w:szCs w:val="22"/>
          <w:u w:val="single"/>
          <w:lang w:val="en-ZA"/>
        </w:rPr>
        <w:t>splaced</w:t>
      </w:r>
      <w:r w:rsidRPr="003F111D">
        <w:rPr>
          <w:rFonts w:ascii="Arial" w:hAnsi="Arial" w:cs="Arial"/>
          <w:sz w:val="22"/>
          <w:szCs w:val="22"/>
          <w:lang w:val="en-ZA"/>
        </w:rPr>
        <w:t xml:space="preserve">. </w:t>
      </w:r>
      <w:r w:rsidR="0EFFA630" w:rsidRPr="003F111D">
        <w:rPr>
          <w:rFonts w:ascii="Arial" w:hAnsi="Arial" w:cs="Arial"/>
          <w:sz w:val="22"/>
          <w:szCs w:val="22"/>
          <w:lang w:val="en-ZA"/>
        </w:rPr>
        <w:t>There is coordination between DIRCO and the National Treasury with respect to the work that is being undertaken by the UN Framework Convention on International Tax Cooperation.</w:t>
      </w:r>
      <w:r w:rsidR="0EFFA630" w:rsidRPr="003F111D">
        <w:rPr>
          <w:rFonts w:ascii="Arial" w:hAnsi="Arial" w:cs="Arial"/>
          <w:i/>
          <w:sz w:val="22"/>
          <w:szCs w:val="22"/>
          <w:lang w:val="en-ZA"/>
        </w:rPr>
        <w:t xml:space="preserve"> </w:t>
      </w:r>
    </w:p>
    <w:p w14:paraId="34ED9146" w14:textId="7D157A7E" w:rsidR="53F3C1E6" w:rsidRPr="004C639D" w:rsidRDefault="53F3C1E6" w:rsidP="73202DE1">
      <w:pPr>
        <w:pStyle w:val="BodyText"/>
        <w:spacing w:before="1" w:line="271" w:lineRule="auto"/>
        <w:ind w:left="831" w:right="152"/>
        <w:jc w:val="both"/>
        <w:rPr>
          <w:rFonts w:ascii="Arial"/>
          <w:lang w:val="en-ZA"/>
        </w:rPr>
      </w:pPr>
    </w:p>
    <w:p w14:paraId="31DFFEED" w14:textId="6E7FBADF" w:rsidR="53F3C1E6" w:rsidRPr="003F111D" w:rsidRDefault="0EFFA630" w:rsidP="251BE3F0">
      <w:pPr>
        <w:pStyle w:val="BodyText"/>
        <w:spacing w:before="1" w:line="271" w:lineRule="auto"/>
        <w:ind w:left="492" w:right="153"/>
        <w:jc w:val="both"/>
        <w:rPr>
          <w:rFonts w:ascii="Arial" w:hAnsi="Arial" w:cs="Arial"/>
          <w:sz w:val="22"/>
          <w:szCs w:val="22"/>
          <w:lang w:val="en-ZA"/>
        </w:rPr>
      </w:pPr>
      <w:r w:rsidRPr="003F111D">
        <w:rPr>
          <w:rFonts w:ascii="Arial" w:hAnsi="Arial" w:cs="Arial"/>
          <w:i/>
          <w:sz w:val="22"/>
          <w:szCs w:val="22"/>
          <w:lang w:val="en-ZA"/>
        </w:rPr>
        <w:t xml:space="preserve">Comment: </w:t>
      </w:r>
      <w:r w:rsidRPr="003F111D">
        <w:rPr>
          <w:rFonts w:ascii="Arial" w:hAnsi="Arial" w:cs="Arial"/>
          <w:sz w:val="22"/>
          <w:szCs w:val="22"/>
          <w:lang w:val="en-ZA"/>
        </w:rPr>
        <w:t>The implementation of the OECD’s rules in this Bill will act as a barrier to</w:t>
      </w:r>
    </w:p>
    <w:p w14:paraId="2DEE0A73" w14:textId="2F2D2C00" w:rsidR="53F3C1E6" w:rsidRPr="003F111D" w:rsidRDefault="0EFFA630" w:rsidP="000F7406">
      <w:pPr>
        <w:pStyle w:val="BodyText"/>
        <w:spacing w:before="1" w:line="271" w:lineRule="auto"/>
        <w:ind w:left="492" w:right="153"/>
        <w:jc w:val="both"/>
        <w:rPr>
          <w:rFonts w:ascii="Arial" w:hAnsi="Arial" w:cs="Arial"/>
          <w:sz w:val="22"/>
          <w:szCs w:val="22"/>
          <w:lang w:val="en-ZA"/>
        </w:rPr>
      </w:pPr>
      <w:r w:rsidRPr="003F111D">
        <w:rPr>
          <w:rFonts w:ascii="Arial" w:hAnsi="Arial" w:cs="Arial"/>
          <w:sz w:val="22"/>
          <w:szCs w:val="22"/>
          <w:lang w:val="en-ZA"/>
        </w:rPr>
        <w:t>supporting a more impactful and just global tax reform agenda, as it not only legitimates the OECD’s undemocratic processes and recognises it as de facto platform for international tax cooperation, but also leads to further complexity should a new UN tax framework be developed that supersedes the work of the OECD. We argue that the implementation of the OECD rules be put on hold until the negotiations on the UN Framework Convention on International Tax Cooperation have reached an advanced stage.</w:t>
      </w:r>
    </w:p>
    <w:p w14:paraId="5D280336" w14:textId="77777777" w:rsidR="53F3C1E6" w:rsidRPr="004C639D" w:rsidRDefault="53F3C1E6" w:rsidP="73202DE1">
      <w:pPr>
        <w:pStyle w:val="BodyText"/>
        <w:spacing w:before="1" w:line="271" w:lineRule="auto"/>
        <w:ind w:left="492" w:right="153"/>
        <w:jc w:val="both"/>
        <w:rPr>
          <w:lang w:val="en-ZA"/>
        </w:rPr>
      </w:pPr>
    </w:p>
    <w:p w14:paraId="778A723A" w14:textId="6DBA214A" w:rsidR="53F3C1E6" w:rsidRPr="003F111D" w:rsidRDefault="0EFFA630" w:rsidP="003F111D">
      <w:pPr>
        <w:pStyle w:val="BodyText"/>
        <w:spacing w:line="271" w:lineRule="auto"/>
        <w:ind w:left="831" w:right="152"/>
        <w:jc w:val="both"/>
        <w:rPr>
          <w:rFonts w:ascii="Arial" w:hAnsi="Arial" w:cs="Arial"/>
          <w:i/>
          <w:sz w:val="22"/>
          <w:szCs w:val="22"/>
          <w:lang w:val="en-ZA"/>
        </w:rPr>
      </w:pPr>
      <w:r w:rsidRPr="003F111D">
        <w:rPr>
          <w:rFonts w:ascii="Arial" w:hAnsi="Arial" w:cs="Arial"/>
          <w:i/>
          <w:sz w:val="22"/>
          <w:szCs w:val="22"/>
          <w:lang w:val="en-ZA"/>
        </w:rPr>
        <w:t xml:space="preserve">Response: </w:t>
      </w:r>
      <w:r w:rsidRPr="003F111D">
        <w:rPr>
          <w:rFonts w:ascii="Arial" w:hAnsi="Arial" w:cs="Arial"/>
          <w:sz w:val="22"/>
          <w:szCs w:val="22"/>
          <w:u w:val="single"/>
          <w:lang w:val="en-ZA"/>
        </w:rPr>
        <w:t>Not accepted</w:t>
      </w:r>
      <w:r w:rsidRPr="003F111D">
        <w:rPr>
          <w:rFonts w:ascii="Arial" w:hAnsi="Arial" w:cs="Arial"/>
          <w:sz w:val="22"/>
          <w:szCs w:val="22"/>
          <w:lang w:val="en-ZA"/>
        </w:rPr>
        <w:t>. It should be borne in mind that other countries are introducing these rules at the same time and the introduction of these rules will ensure that any top-up taxes due on this income in South Africa will be paid to the Government in South Africa.</w:t>
      </w:r>
    </w:p>
    <w:p w14:paraId="3249ACC2" w14:textId="2CF9973A" w:rsidR="53F3C1E6" w:rsidRPr="004C639D" w:rsidRDefault="53F3C1E6" w:rsidP="73202DE1">
      <w:pPr>
        <w:pStyle w:val="BodyText"/>
        <w:spacing w:before="1" w:line="271" w:lineRule="auto"/>
        <w:ind w:left="831" w:right="152"/>
        <w:jc w:val="both"/>
        <w:rPr>
          <w:rFonts w:ascii="Arial"/>
          <w:lang w:val="en-ZA"/>
        </w:rPr>
      </w:pPr>
    </w:p>
    <w:p w14:paraId="4EF4AF4A" w14:textId="7C328422" w:rsidR="53F3C1E6" w:rsidRPr="003F111D" w:rsidRDefault="0EFFA630" w:rsidP="0E23F069">
      <w:pPr>
        <w:pStyle w:val="BodyText"/>
        <w:spacing w:before="1" w:line="271" w:lineRule="auto"/>
        <w:ind w:left="492" w:right="153"/>
        <w:jc w:val="both"/>
        <w:rPr>
          <w:rFonts w:ascii="Arial" w:hAnsi="Arial" w:cs="Arial"/>
          <w:i/>
          <w:sz w:val="22"/>
          <w:szCs w:val="22"/>
          <w:lang w:val="en-ZA"/>
        </w:rPr>
      </w:pPr>
      <w:r w:rsidRPr="003F111D">
        <w:rPr>
          <w:rFonts w:ascii="Arial" w:hAnsi="Arial" w:cs="Arial"/>
          <w:i/>
          <w:sz w:val="22"/>
          <w:szCs w:val="22"/>
          <w:lang w:val="en-ZA"/>
        </w:rPr>
        <w:t xml:space="preserve">Comment: </w:t>
      </w:r>
      <w:r w:rsidR="1FC47691" w:rsidRPr="003F111D">
        <w:rPr>
          <w:rFonts w:ascii="Arial" w:hAnsi="Arial" w:cs="Arial"/>
          <w:sz w:val="22"/>
          <w:szCs w:val="22"/>
          <w:lang w:val="en-ZA"/>
        </w:rPr>
        <w:t>The Bill adopts the OECD GloBE rules by reference, meaning it doesn’t fully integrate the rules into domestic law but instead includes direct references to the relevant Articles of the GloBE Model Rules. Any future updates or changes to the GloBE Commentary or Administrative Guidance will be automatically applied in South Africa. Therefore, any future changes to the Commentary or Guidance will not pass through the legislative process because they are automatically applicable as per the Draft Bill</w:t>
      </w:r>
      <w:r w:rsidR="1FC47691" w:rsidRPr="003F111D">
        <w:rPr>
          <w:rFonts w:ascii="Arial" w:hAnsi="Arial" w:cs="Arial"/>
          <w:i/>
          <w:sz w:val="22"/>
          <w:szCs w:val="22"/>
          <w:lang w:val="en-ZA"/>
        </w:rPr>
        <w:t>.</w:t>
      </w:r>
    </w:p>
    <w:p w14:paraId="2D815EBC" w14:textId="642E4E31" w:rsidR="53F3C1E6" w:rsidRPr="004C639D" w:rsidRDefault="53F3C1E6" w:rsidP="6BE3FB70">
      <w:pPr>
        <w:pStyle w:val="BodyText"/>
        <w:spacing w:before="1" w:line="271" w:lineRule="auto"/>
        <w:ind w:left="492" w:right="153"/>
        <w:jc w:val="both"/>
        <w:rPr>
          <w:lang w:val="en-ZA"/>
        </w:rPr>
      </w:pPr>
    </w:p>
    <w:p w14:paraId="7416492C" w14:textId="6E69D965" w:rsidR="53F3C1E6" w:rsidRPr="003F111D" w:rsidRDefault="0EFFA630" w:rsidP="003F111D">
      <w:pPr>
        <w:pStyle w:val="BodyText"/>
        <w:spacing w:line="271" w:lineRule="auto"/>
        <w:ind w:left="831" w:right="152"/>
        <w:jc w:val="both"/>
        <w:rPr>
          <w:rFonts w:ascii="Arial" w:hAnsi="Arial" w:cs="Arial"/>
          <w:sz w:val="22"/>
          <w:szCs w:val="22"/>
          <w:lang w:val="en-ZA"/>
        </w:rPr>
      </w:pPr>
      <w:r w:rsidRPr="003F111D">
        <w:rPr>
          <w:rFonts w:ascii="Arial" w:hAnsi="Arial" w:cs="Arial"/>
          <w:i/>
          <w:sz w:val="22"/>
          <w:szCs w:val="22"/>
          <w:lang w:val="en-ZA"/>
        </w:rPr>
        <w:t xml:space="preserve">Response: </w:t>
      </w:r>
      <w:r w:rsidR="6B4A5735" w:rsidRPr="003F111D">
        <w:rPr>
          <w:rFonts w:ascii="Arial" w:hAnsi="Arial" w:cs="Arial"/>
          <w:sz w:val="22"/>
          <w:szCs w:val="22"/>
          <w:u w:val="single"/>
          <w:lang w:val="en-ZA"/>
        </w:rPr>
        <w:t>Ac</w:t>
      </w:r>
      <w:r w:rsidRPr="003F111D">
        <w:rPr>
          <w:rFonts w:ascii="Arial" w:hAnsi="Arial" w:cs="Arial"/>
          <w:sz w:val="22"/>
          <w:szCs w:val="22"/>
          <w:u w:val="single"/>
          <w:lang w:val="en-ZA"/>
        </w:rPr>
        <w:t>cepted</w:t>
      </w:r>
      <w:r w:rsidRPr="003F111D">
        <w:rPr>
          <w:rFonts w:ascii="Arial" w:hAnsi="Arial" w:cs="Arial"/>
          <w:sz w:val="22"/>
          <w:szCs w:val="22"/>
          <w:lang w:val="en-ZA"/>
        </w:rPr>
        <w:t xml:space="preserve">. </w:t>
      </w:r>
      <w:r w:rsidR="47E07F1F" w:rsidRPr="003F111D">
        <w:rPr>
          <w:rFonts w:ascii="Arial" w:hAnsi="Arial" w:cs="Arial"/>
          <w:sz w:val="22"/>
          <w:szCs w:val="22"/>
          <w:lang w:val="en-ZA"/>
        </w:rPr>
        <w:t>The Bill was updated to include clauses that enables the Minister of Finance to update the model rules and guidance to be considered in applying the GMT and DMTT, to maintain consistency with the internationally adopted approach as it is developed further, while preserving the right to make such modifications as may be required by the South African context. Similar to the approach used in the Customs and Excise Act, 1964, with respect to tariff amendments, the updates will lapse unless approved by Parliament.</w:t>
      </w:r>
    </w:p>
    <w:p w14:paraId="14342274" w14:textId="343231DB" w:rsidR="399EC424" w:rsidRPr="004C639D" w:rsidRDefault="399EC424" w:rsidP="251BE3F0">
      <w:pPr>
        <w:pStyle w:val="BodyText"/>
        <w:spacing w:before="1" w:line="271" w:lineRule="auto"/>
        <w:ind w:left="492" w:right="153"/>
        <w:jc w:val="both"/>
        <w:rPr>
          <w:rFonts w:ascii="Arial"/>
          <w:i/>
          <w:iCs/>
          <w:lang w:val="en-ZA"/>
        </w:rPr>
      </w:pPr>
    </w:p>
    <w:p w14:paraId="506AB0CA" w14:textId="3C0BF7EF" w:rsidR="53F3C1E6" w:rsidRPr="003F111D" w:rsidRDefault="6C954E3E" w:rsidP="55C96F3F">
      <w:pPr>
        <w:pStyle w:val="BodyText"/>
        <w:spacing w:before="1" w:line="271" w:lineRule="auto"/>
        <w:ind w:left="492" w:right="153"/>
        <w:jc w:val="both"/>
        <w:rPr>
          <w:rFonts w:ascii="Arial" w:hAnsi="Arial" w:cs="Arial"/>
          <w:i/>
          <w:sz w:val="22"/>
          <w:szCs w:val="22"/>
          <w:lang w:val="en-ZA"/>
        </w:rPr>
      </w:pPr>
      <w:r w:rsidRPr="003F111D">
        <w:rPr>
          <w:rFonts w:ascii="Arial" w:hAnsi="Arial" w:cs="Arial"/>
          <w:i/>
          <w:sz w:val="22"/>
          <w:szCs w:val="22"/>
          <w:lang w:val="en-ZA"/>
        </w:rPr>
        <w:t xml:space="preserve">Comment: </w:t>
      </w:r>
      <w:r w:rsidR="7C696EF9" w:rsidRPr="003F111D">
        <w:rPr>
          <w:rFonts w:ascii="Arial" w:hAnsi="Arial" w:cs="Arial"/>
          <w:sz w:val="22"/>
          <w:szCs w:val="22"/>
          <w:lang w:val="en-ZA"/>
        </w:rPr>
        <w:t>Considering the widespread adoption of the OECD BEPS initiatives and the fact that countries with traditionally low tax rates are now introducing their own DMTT to ensure entities are taxed at an effective rate of 15%, does South Africa still have a reason to maintain its CFC legislation?</w:t>
      </w:r>
    </w:p>
    <w:p w14:paraId="74FDC630" w14:textId="77777777" w:rsidR="53F3C1E6" w:rsidRPr="004C639D" w:rsidRDefault="53F3C1E6" w:rsidP="55C96F3F">
      <w:pPr>
        <w:pStyle w:val="BodyText"/>
        <w:spacing w:before="1" w:line="271" w:lineRule="auto"/>
        <w:ind w:left="492" w:right="153"/>
        <w:jc w:val="both"/>
        <w:rPr>
          <w:lang w:val="en-ZA"/>
        </w:rPr>
      </w:pPr>
    </w:p>
    <w:p w14:paraId="1EB6C28A" w14:textId="76AAEB2B" w:rsidR="53F3C1E6" w:rsidRPr="003F111D" w:rsidRDefault="6C954E3E" w:rsidP="003F111D">
      <w:pPr>
        <w:pStyle w:val="BodyText"/>
        <w:spacing w:line="271" w:lineRule="auto"/>
        <w:ind w:left="831" w:right="152"/>
        <w:jc w:val="both"/>
        <w:rPr>
          <w:rFonts w:ascii="Arial" w:hAnsi="Arial" w:cs="Arial"/>
          <w:i/>
          <w:sz w:val="22"/>
          <w:szCs w:val="22"/>
          <w:lang w:val="en-ZA"/>
        </w:rPr>
      </w:pPr>
      <w:r w:rsidRPr="003F111D">
        <w:rPr>
          <w:rFonts w:ascii="Arial" w:hAnsi="Arial" w:cs="Arial"/>
          <w:i/>
          <w:sz w:val="22"/>
          <w:szCs w:val="22"/>
          <w:lang w:val="en-ZA"/>
        </w:rPr>
        <w:t xml:space="preserve">Response: </w:t>
      </w:r>
      <w:r w:rsidRPr="003F111D">
        <w:rPr>
          <w:rFonts w:ascii="Arial" w:hAnsi="Arial" w:cs="Arial"/>
          <w:sz w:val="22"/>
          <w:szCs w:val="22"/>
          <w:u w:val="single"/>
          <w:lang w:val="en-ZA"/>
        </w:rPr>
        <w:t>Not accepted</w:t>
      </w:r>
      <w:r w:rsidRPr="003F111D">
        <w:rPr>
          <w:rFonts w:ascii="Arial" w:hAnsi="Arial" w:cs="Arial"/>
          <w:sz w:val="22"/>
          <w:szCs w:val="22"/>
          <w:lang w:val="en-ZA"/>
        </w:rPr>
        <w:t xml:space="preserve">. </w:t>
      </w:r>
      <w:r w:rsidR="0AD755ED" w:rsidRPr="003F111D">
        <w:rPr>
          <w:rFonts w:ascii="Arial" w:hAnsi="Arial" w:cs="Arial"/>
          <w:sz w:val="22"/>
          <w:szCs w:val="22"/>
          <w:lang w:val="en-ZA"/>
        </w:rPr>
        <w:t>Despite South Africa’s comprehensive and effective controlled foreign company (CFC) rules, there are several exceptions that South African-based companies can use to minimise their C</w:t>
      </w:r>
      <w:r w:rsidR="000C24E4" w:rsidRPr="003F111D">
        <w:rPr>
          <w:rFonts w:ascii="Arial" w:hAnsi="Arial" w:cs="Arial"/>
          <w:sz w:val="22"/>
          <w:szCs w:val="22"/>
          <w:lang w:val="en-ZA"/>
        </w:rPr>
        <w:t>FC</w:t>
      </w:r>
      <w:r w:rsidR="0AD755ED" w:rsidRPr="003F111D">
        <w:rPr>
          <w:rFonts w:ascii="Arial" w:hAnsi="Arial" w:cs="Arial"/>
          <w:sz w:val="22"/>
          <w:szCs w:val="22"/>
          <w:lang w:val="en-ZA"/>
        </w:rPr>
        <w:t xml:space="preserve"> exposure. The GloBE rules ensure that the MNEs benefiting from these exceptions still pay a minimum tax rate on their foreign investments.</w:t>
      </w:r>
    </w:p>
    <w:p w14:paraId="0F5355BA" w14:textId="4A7FD4AB" w:rsidR="5EC3A8E3" w:rsidRPr="003F111D" w:rsidRDefault="5EC3A8E3" w:rsidP="5EC3A8E3">
      <w:pPr>
        <w:pStyle w:val="BodyText"/>
        <w:spacing w:before="1" w:line="271" w:lineRule="auto"/>
        <w:ind w:left="831" w:right="152"/>
        <w:jc w:val="both"/>
        <w:rPr>
          <w:rFonts w:ascii="Arial"/>
          <w:lang w:val="en-ZA"/>
        </w:rPr>
      </w:pPr>
    </w:p>
    <w:p w14:paraId="38DFB3A9" w14:textId="346530E6" w:rsidR="53F3C1E6" w:rsidRPr="003F111D" w:rsidRDefault="6C954E3E" w:rsidP="0E436E98">
      <w:pPr>
        <w:pStyle w:val="BodyText"/>
        <w:spacing w:before="1" w:line="271" w:lineRule="auto"/>
        <w:ind w:left="492" w:right="153"/>
        <w:jc w:val="both"/>
        <w:rPr>
          <w:rFonts w:ascii="Arial" w:hAnsi="Arial" w:cs="Arial"/>
          <w:i/>
          <w:sz w:val="22"/>
          <w:szCs w:val="22"/>
          <w:lang w:val="en-ZA"/>
        </w:rPr>
      </w:pPr>
      <w:r w:rsidRPr="003F111D">
        <w:rPr>
          <w:rFonts w:ascii="Arial" w:hAnsi="Arial" w:cs="Arial"/>
          <w:i/>
          <w:sz w:val="22"/>
          <w:szCs w:val="22"/>
          <w:lang w:val="en-ZA"/>
        </w:rPr>
        <w:t xml:space="preserve">Comment: </w:t>
      </w:r>
      <w:r w:rsidR="41B6B81B" w:rsidRPr="003F111D">
        <w:rPr>
          <w:rFonts w:ascii="Arial" w:hAnsi="Arial" w:cs="Arial"/>
          <w:sz w:val="22"/>
          <w:szCs w:val="22"/>
          <w:lang w:val="en-ZA"/>
        </w:rPr>
        <w:t>The introduction of the GMT will lead to heightened tax compliance and reporting obligations for MNE Groups, requiring them to adhere to new reporting standards, such as the GloBE Information Return. In addition, the increased tax burden and compliance costs might influence MNE Groups investment decisions, potentially leading to a re-evaluation of investments in certain jurisdictions</w:t>
      </w:r>
      <w:r w:rsidR="41B6B81B" w:rsidRPr="003F111D">
        <w:rPr>
          <w:rFonts w:ascii="Arial" w:hAnsi="Arial" w:cs="Arial"/>
          <w:i/>
          <w:sz w:val="22"/>
          <w:szCs w:val="22"/>
          <w:lang w:val="en-ZA"/>
        </w:rPr>
        <w:t>.</w:t>
      </w:r>
    </w:p>
    <w:p w14:paraId="1F0B42B4" w14:textId="7E9B722F" w:rsidR="53F3C1E6" w:rsidRPr="004C639D" w:rsidRDefault="53F3C1E6" w:rsidP="0E436E98">
      <w:pPr>
        <w:pStyle w:val="BodyText"/>
        <w:spacing w:before="1" w:line="271" w:lineRule="auto"/>
        <w:ind w:left="492" w:right="153"/>
        <w:jc w:val="both"/>
        <w:rPr>
          <w:lang w:val="en-ZA"/>
        </w:rPr>
      </w:pPr>
    </w:p>
    <w:p w14:paraId="3824D365" w14:textId="58BC131E" w:rsidR="53F3C1E6" w:rsidRPr="003F111D" w:rsidRDefault="6C954E3E" w:rsidP="003F111D">
      <w:pPr>
        <w:pStyle w:val="BodyText"/>
        <w:spacing w:line="271" w:lineRule="auto"/>
        <w:ind w:left="831" w:right="152"/>
        <w:jc w:val="both"/>
        <w:rPr>
          <w:rFonts w:ascii="Arial" w:hAnsi="Arial" w:cs="Arial"/>
          <w:i/>
          <w:sz w:val="22"/>
          <w:szCs w:val="22"/>
          <w:lang w:val="en-ZA"/>
        </w:rPr>
      </w:pPr>
      <w:r w:rsidRPr="003F111D">
        <w:rPr>
          <w:rFonts w:ascii="Arial" w:hAnsi="Arial" w:cs="Arial"/>
          <w:i/>
          <w:sz w:val="22"/>
          <w:szCs w:val="22"/>
          <w:lang w:val="en-ZA"/>
        </w:rPr>
        <w:t xml:space="preserve">Response: </w:t>
      </w:r>
      <w:r w:rsidRPr="003F111D">
        <w:rPr>
          <w:rFonts w:ascii="Arial" w:hAnsi="Arial" w:cs="Arial"/>
          <w:sz w:val="22"/>
          <w:szCs w:val="22"/>
          <w:u w:val="single"/>
          <w:lang w:val="en-ZA"/>
        </w:rPr>
        <w:t>Not accepted</w:t>
      </w:r>
      <w:r w:rsidRPr="003F111D">
        <w:rPr>
          <w:rFonts w:ascii="Arial" w:hAnsi="Arial" w:cs="Arial"/>
          <w:sz w:val="22"/>
          <w:szCs w:val="22"/>
          <w:lang w:val="en-ZA"/>
        </w:rPr>
        <w:t>.</w:t>
      </w:r>
      <w:r w:rsidR="60EC7D6E" w:rsidRPr="003F111D">
        <w:rPr>
          <w:rFonts w:ascii="Arial" w:hAnsi="Arial" w:cs="Arial"/>
          <w:sz w:val="22"/>
          <w:szCs w:val="22"/>
          <w:lang w:val="en-ZA"/>
        </w:rPr>
        <w:t xml:space="preserve"> The first thing to note is that these MNEs will, in many cases, already be subject to the same rules in other jurisdictions and therefore are already complying with the minimum tax. Delaying South African implementation would not affect the compliance burden for these businesses because they are already required to do these calculations to comply with the global minimum tax rules in other countries</w:t>
      </w:r>
      <w:r w:rsidR="60EC7D6E" w:rsidRPr="003F111D">
        <w:rPr>
          <w:rFonts w:ascii="Arial" w:hAnsi="Arial" w:cs="Arial"/>
          <w:i/>
          <w:sz w:val="22"/>
          <w:szCs w:val="22"/>
          <w:lang w:val="en-ZA"/>
        </w:rPr>
        <w:t>.</w:t>
      </w:r>
      <w:r w:rsidR="5A600C1A" w:rsidRPr="003F111D">
        <w:rPr>
          <w:rFonts w:ascii="Arial" w:hAnsi="Arial" w:cs="Arial"/>
          <w:i/>
          <w:sz w:val="22"/>
          <w:szCs w:val="22"/>
          <w:lang w:val="en-ZA"/>
        </w:rPr>
        <w:t xml:space="preserve"> </w:t>
      </w:r>
    </w:p>
    <w:p w14:paraId="3CBB5BC9" w14:textId="170AD66C" w:rsidR="53F3C1E6" w:rsidRPr="003F111D" w:rsidRDefault="53F3C1E6" w:rsidP="6B822A4E">
      <w:pPr>
        <w:pStyle w:val="BodyText"/>
        <w:spacing w:before="1" w:line="271" w:lineRule="auto"/>
        <w:ind w:left="831" w:right="152"/>
        <w:jc w:val="both"/>
        <w:rPr>
          <w:rFonts w:ascii="Arial"/>
          <w:lang w:val="en-ZA"/>
        </w:rPr>
      </w:pPr>
    </w:p>
    <w:p w14:paraId="5BF36D05" w14:textId="6FDEEE71" w:rsidR="53F3C1E6" w:rsidRPr="003F111D" w:rsidRDefault="5A600C1A" w:rsidP="003F111D">
      <w:pPr>
        <w:pStyle w:val="BodyText"/>
        <w:spacing w:line="271" w:lineRule="auto"/>
        <w:ind w:left="831" w:right="152"/>
        <w:jc w:val="both"/>
        <w:rPr>
          <w:rFonts w:ascii="Arial" w:hAnsi="Arial" w:cs="Arial"/>
          <w:i/>
          <w:sz w:val="22"/>
          <w:szCs w:val="22"/>
          <w:lang w:val="en-ZA"/>
        </w:rPr>
      </w:pPr>
      <w:r w:rsidRPr="003F111D">
        <w:rPr>
          <w:rFonts w:ascii="Arial" w:hAnsi="Arial" w:cs="Arial"/>
          <w:sz w:val="22"/>
          <w:szCs w:val="22"/>
          <w:lang w:val="en-ZA"/>
        </w:rPr>
        <w:t>However, do take the concerns about compliance burden seriously and we have been working with our Inclusive Framework on simplifications to the rules which will reduce the compliance burden for businesses. These include a transitional safe harbour that allows businesses to make simplified calculations using data they already report, and a transitional simplified reporting regime. These simplifications will allow businesses to transition into the rules and focus their resources on the jurisdictions where they expect to pay a top-up tax</w:t>
      </w:r>
      <w:r w:rsidRPr="003F111D">
        <w:rPr>
          <w:rFonts w:ascii="Arial" w:hAnsi="Arial" w:cs="Arial"/>
          <w:i/>
          <w:sz w:val="22"/>
          <w:szCs w:val="22"/>
          <w:lang w:val="en-ZA"/>
        </w:rPr>
        <w:t>.</w:t>
      </w:r>
    </w:p>
    <w:p w14:paraId="66288FBE" w14:textId="71064031" w:rsidR="53F3C1E6" w:rsidRPr="003F111D" w:rsidRDefault="53F3C1E6" w:rsidP="0E23F069">
      <w:pPr>
        <w:pStyle w:val="BodyText"/>
        <w:spacing w:before="1" w:line="271" w:lineRule="auto"/>
        <w:ind w:left="831" w:right="152"/>
        <w:jc w:val="both"/>
        <w:rPr>
          <w:rFonts w:ascii="Arial"/>
          <w:lang w:val="en-ZA"/>
        </w:rPr>
      </w:pPr>
    </w:p>
    <w:p w14:paraId="19F64F40" w14:textId="1A7AA7D4" w:rsidR="53F3C1E6" w:rsidRPr="003F111D" w:rsidRDefault="6C954E3E" w:rsidP="251BE3F0">
      <w:pPr>
        <w:pStyle w:val="BodyText"/>
        <w:spacing w:before="1" w:line="271" w:lineRule="auto"/>
        <w:ind w:left="492" w:right="153"/>
        <w:jc w:val="both"/>
        <w:rPr>
          <w:rFonts w:ascii="Arial" w:hAnsi="Arial" w:cs="Arial"/>
          <w:i/>
          <w:sz w:val="22"/>
          <w:szCs w:val="22"/>
          <w:lang w:val="en-ZA"/>
        </w:rPr>
      </w:pPr>
      <w:r w:rsidRPr="003F111D">
        <w:rPr>
          <w:rFonts w:ascii="Arial" w:hAnsi="Arial" w:cs="Arial"/>
          <w:i/>
          <w:sz w:val="22"/>
          <w:szCs w:val="22"/>
          <w:lang w:val="en-ZA"/>
        </w:rPr>
        <w:t>Comment:</w:t>
      </w:r>
      <w:r w:rsidR="5E3380C3" w:rsidRPr="003F111D">
        <w:rPr>
          <w:rFonts w:ascii="Arial" w:hAnsi="Arial" w:cs="Arial"/>
          <w:i/>
          <w:sz w:val="22"/>
          <w:szCs w:val="22"/>
          <w:lang w:val="en-ZA"/>
        </w:rPr>
        <w:t xml:space="preserve"> </w:t>
      </w:r>
      <w:r w:rsidR="5E3380C3" w:rsidRPr="003F111D">
        <w:rPr>
          <w:rFonts w:ascii="Arial" w:hAnsi="Arial" w:cs="Arial"/>
          <w:sz w:val="22"/>
          <w:szCs w:val="22"/>
          <w:lang w:val="en-ZA"/>
        </w:rPr>
        <w:t>MNE Groups in regions that adopt the GloBE Model Rules ahead of others could encounter competitive drawbacks. For instance, South African MNEs might have to comply with these rules earlier than their international peers, potentially affecting their competitive edge.</w:t>
      </w:r>
      <w:r w:rsidR="098BDFEF" w:rsidRPr="003F111D">
        <w:rPr>
          <w:rFonts w:ascii="Arial" w:hAnsi="Arial" w:cs="Arial"/>
          <w:sz w:val="22"/>
          <w:szCs w:val="22"/>
          <w:lang w:val="en-ZA"/>
        </w:rPr>
        <w:t xml:space="preserve"> MNE Groups in regions that adopt the GloBE Model Rules ahead of others could encounter competitive drawbacks. For instance, South African MNEs might have to comply with these rules earlier than their international peers, potentially affecting their competitive edge.</w:t>
      </w:r>
    </w:p>
    <w:p w14:paraId="07F5855C" w14:textId="77777777" w:rsidR="53F3C1E6" w:rsidRPr="004C639D" w:rsidRDefault="53F3C1E6" w:rsidP="399EC424">
      <w:pPr>
        <w:pStyle w:val="BodyText"/>
        <w:spacing w:before="1" w:line="271" w:lineRule="auto"/>
        <w:ind w:left="492" w:right="153"/>
        <w:jc w:val="both"/>
        <w:rPr>
          <w:lang w:val="en-ZA"/>
        </w:rPr>
      </w:pPr>
    </w:p>
    <w:p w14:paraId="563C840C" w14:textId="31296311" w:rsidR="53F3C1E6" w:rsidRPr="003F111D" w:rsidRDefault="6C954E3E" w:rsidP="003F111D">
      <w:pPr>
        <w:pStyle w:val="BodyText"/>
        <w:spacing w:line="271" w:lineRule="auto"/>
        <w:ind w:left="831" w:right="152"/>
        <w:jc w:val="both"/>
        <w:rPr>
          <w:rFonts w:ascii="Arial" w:hAnsi="Arial" w:cs="Arial"/>
          <w:sz w:val="22"/>
          <w:szCs w:val="22"/>
          <w:lang w:val="en-ZA"/>
        </w:rPr>
      </w:pPr>
      <w:r w:rsidRPr="003F111D">
        <w:rPr>
          <w:rFonts w:ascii="Arial" w:hAnsi="Arial" w:cs="Arial"/>
          <w:i/>
          <w:sz w:val="22"/>
          <w:szCs w:val="22"/>
          <w:lang w:val="en-ZA"/>
        </w:rPr>
        <w:t xml:space="preserve">Response: </w:t>
      </w:r>
      <w:r w:rsidRPr="003F111D">
        <w:rPr>
          <w:rFonts w:ascii="Arial" w:hAnsi="Arial" w:cs="Arial"/>
          <w:sz w:val="22"/>
          <w:szCs w:val="22"/>
          <w:u w:val="single"/>
          <w:lang w:val="en-ZA"/>
        </w:rPr>
        <w:t>Not accepted</w:t>
      </w:r>
      <w:r w:rsidRPr="003F111D">
        <w:rPr>
          <w:rFonts w:ascii="Arial" w:hAnsi="Arial" w:cs="Arial"/>
          <w:sz w:val="22"/>
          <w:szCs w:val="22"/>
          <w:lang w:val="en-ZA"/>
        </w:rPr>
        <w:t xml:space="preserve">. </w:t>
      </w:r>
      <w:r w:rsidR="12C57AB3" w:rsidRPr="003F111D">
        <w:rPr>
          <w:rFonts w:ascii="Arial" w:hAnsi="Arial" w:cs="Arial"/>
          <w:sz w:val="22"/>
          <w:szCs w:val="22"/>
          <w:lang w:val="en-ZA"/>
        </w:rPr>
        <w:t>No. Under the Global Minimum Tax framework, income will always be subject to the minimum tax rate, even if it is moved to countries that haven’t implemented the rules. In such scenarios, the multinational would need to pay additional taxes to countries that have adopted the rules. This ensures that there is no benefit to being in non-implementing countries and prevents businesses from bypassing these rules.</w:t>
      </w:r>
    </w:p>
    <w:p w14:paraId="7CBB1AE9" w14:textId="3F54C3AC" w:rsidR="5EC3A8E3" w:rsidRPr="003F111D" w:rsidRDefault="5EC3A8E3" w:rsidP="5EC3A8E3">
      <w:pPr>
        <w:pStyle w:val="BodyText"/>
        <w:spacing w:before="1" w:line="271" w:lineRule="auto"/>
        <w:ind w:left="831" w:right="152"/>
        <w:jc w:val="both"/>
        <w:rPr>
          <w:rFonts w:ascii="Arial"/>
          <w:lang w:val="en-ZA"/>
        </w:rPr>
      </w:pPr>
    </w:p>
    <w:p w14:paraId="023934D4" w14:textId="3CA60FE5" w:rsidR="53F3C1E6" w:rsidRPr="003F111D" w:rsidRDefault="6C954E3E" w:rsidP="399EC424">
      <w:pPr>
        <w:pStyle w:val="BodyText"/>
        <w:spacing w:before="1" w:line="271" w:lineRule="auto"/>
        <w:ind w:left="492" w:right="153"/>
        <w:jc w:val="both"/>
        <w:rPr>
          <w:rFonts w:ascii="Arial" w:hAnsi="Arial" w:cs="Arial"/>
          <w:sz w:val="22"/>
          <w:szCs w:val="22"/>
          <w:lang w:val="en-ZA"/>
        </w:rPr>
      </w:pPr>
      <w:r w:rsidRPr="003F111D">
        <w:rPr>
          <w:rFonts w:ascii="Arial" w:hAnsi="Arial" w:cs="Arial"/>
          <w:i/>
          <w:sz w:val="22"/>
          <w:szCs w:val="22"/>
          <w:lang w:val="en-ZA"/>
        </w:rPr>
        <w:t xml:space="preserve">Comment: </w:t>
      </w:r>
      <w:r w:rsidR="21DDA7B7" w:rsidRPr="003F111D">
        <w:rPr>
          <w:rFonts w:ascii="Arial" w:hAnsi="Arial" w:cs="Arial"/>
          <w:sz w:val="22"/>
          <w:szCs w:val="22"/>
          <w:lang w:val="en-ZA"/>
        </w:rPr>
        <w:t>Although the GloBE Model Rules strive for worldwide uniformity, it’s essential for jurisdictions to adapt them locally. This local adaptation helps prevent unintended outcomes and ensures the rules are implemented smoothly.</w:t>
      </w:r>
    </w:p>
    <w:p w14:paraId="770C6F3C" w14:textId="77777777" w:rsidR="53F3C1E6" w:rsidRPr="003F111D" w:rsidRDefault="53F3C1E6" w:rsidP="399EC424">
      <w:pPr>
        <w:pStyle w:val="BodyText"/>
        <w:spacing w:before="1" w:line="271" w:lineRule="auto"/>
        <w:ind w:left="492" w:right="153"/>
        <w:jc w:val="both"/>
        <w:rPr>
          <w:rFonts w:ascii="Arial"/>
          <w:lang w:val="en-ZA"/>
        </w:rPr>
      </w:pPr>
    </w:p>
    <w:p w14:paraId="38F823B7" w14:textId="66D7002E" w:rsidR="53F3C1E6" w:rsidRPr="003F111D" w:rsidRDefault="6C954E3E" w:rsidP="003F111D">
      <w:pPr>
        <w:pStyle w:val="BodyText"/>
        <w:spacing w:line="271" w:lineRule="auto"/>
        <w:ind w:left="831" w:right="152"/>
        <w:jc w:val="both"/>
        <w:rPr>
          <w:rFonts w:ascii="Arial" w:hAnsi="Arial" w:cs="Arial"/>
          <w:i/>
          <w:sz w:val="22"/>
          <w:szCs w:val="22"/>
          <w:lang w:val="en-ZA"/>
        </w:rPr>
      </w:pPr>
      <w:r w:rsidRPr="003F111D">
        <w:rPr>
          <w:rFonts w:ascii="Arial" w:hAnsi="Arial" w:cs="Arial"/>
          <w:i/>
          <w:sz w:val="22"/>
          <w:szCs w:val="22"/>
          <w:lang w:val="en-ZA"/>
        </w:rPr>
        <w:t xml:space="preserve">Response: </w:t>
      </w:r>
      <w:r w:rsidRPr="003F111D">
        <w:rPr>
          <w:rFonts w:ascii="Arial" w:hAnsi="Arial" w:cs="Arial"/>
          <w:sz w:val="22"/>
          <w:szCs w:val="22"/>
          <w:u w:val="single"/>
          <w:lang w:val="en-ZA"/>
        </w:rPr>
        <w:t>Not accepted</w:t>
      </w:r>
      <w:r w:rsidRPr="003F111D">
        <w:rPr>
          <w:rFonts w:ascii="Arial" w:hAnsi="Arial" w:cs="Arial"/>
          <w:sz w:val="22"/>
          <w:szCs w:val="22"/>
          <w:lang w:val="en-ZA"/>
        </w:rPr>
        <w:t xml:space="preserve">. </w:t>
      </w:r>
      <w:r w:rsidR="2D307F70" w:rsidRPr="003F111D">
        <w:rPr>
          <w:rFonts w:ascii="Arial" w:hAnsi="Arial" w:cs="Arial"/>
          <w:sz w:val="22"/>
          <w:szCs w:val="22"/>
          <w:lang w:val="en-ZA"/>
        </w:rPr>
        <w:t>As stated above in the introduction, the incorporation by reference which has been adopted in other countries such as Switzerland and New Zealand, simplify the implementation of the rules and makes it easier for MNEs to comply – avoiding the risk of differences that could arise in translating the full text of the model rules into domestic law.</w:t>
      </w:r>
      <w:r w:rsidR="2D307F70" w:rsidRPr="003F111D">
        <w:rPr>
          <w:rFonts w:ascii="Arial" w:hAnsi="Arial" w:cs="Arial"/>
          <w:i/>
          <w:sz w:val="22"/>
          <w:szCs w:val="22"/>
          <w:lang w:val="en-ZA"/>
        </w:rPr>
        <w:t xml:space="preserve">  </w:t>
      </w:r>
    </w:p>
    <w:p w14:paraId="46F62AB5" w14:textId="51DDDF0C" w:rsidR="047E92A0" w:rsidRPr="003F111D" w:rsidRDefault="047E92A0" w:rsidP="047E92A0">
      <w:pPr>
        <w:pStyle w:val="BodyText"/>
        <w:spacing w:before="1" w:line="271" w:lineRule="auto"/>
        <w:ind w:left="831" w:right="152"/>
        <w:jc w:val="both"/>
        <w:rPr>
          <w:rFonts w:ascii="Arial"/>
          <w:lang w:val="en-ZA"/>
        </w:rPr>
      </w:pPr>
    </w:p>
    <w:p w14:paraId="65E5799E" w14:textId="16E67796" w:rsidR="5576B76E" w:rsidRPr="003F111D" w:rsidRDefault="5A36D2A9" w:rsidP="251BE3F0">
      <w:pPr>
        <w:pStyle w:val="BodyText"/>
        <w:spacing w:before="1" w:line="271" w:lineRule="auto"/>
        <w:ind w:left="492" w:right="153"/>
        <w:jc w:val="both"/>
        <w:rPr>
          <w:rFonts w:ascii="Arial" w:hAnsi="Arial" w:cs="Arial"/>
          <w:i/>
          <w:sz w:val="22"/>
          <w:szCs w:val="22"/>
          <w:lang w:val="en-ZA"/>
        </w:rPr>
      </w:pPr>
      <w:r w:rsidRPr="003F111D">
        <w:rPr>
          <w:rFonts w:ascii="Arial" w:hAnsi="Arial" w:cs="Arial"/>
          <w:i/>
          <w:sz w:val="22"/>
          <w:szCs w:val="22"/>
          <w:lang w:val="en-ZA"/>
        </w:rPr>
        <w:t xml:space="preserve">Comment: </w:t>
      </w:r>
      <w:r w:rsidR="51F889DF" w:rsidRPr="003F111D">
        <w:rPr>
          <w:rFonts w:ascii="Arial" w:hAnsi="Arial" w:cs="Arial"/>
          <w:sz w:val="22"/>
          <w:szCs w:val="22"/>
          <w:lang w:val="en-ZA"/>
        </w:rPr>
        <w:t>Lack of clarity on the treatment of domestic constituent entities that are minority-owned and investment entities.</w:t>
      </w:r>
    </w:p>
    <w:p w14:paraId="1E5D5479" w14:textId="77777777" w:rsidR="53F3C1E6" w:rsidRPr="004C639D" w:rsidRDefault="53F3C1E6" w:rsidP="4B40C32C">
      <w:pPr>
        <w:pStyle w:val="BodyText"/>
        <w:spacing w:before="1" w:line="271" w:lineRule="auto"/>
        <w:ind w:left="492" w:right="153"/>
        <w:jc w:val="both"/>
        <w:rPr>
          <w:lang w:val="en-ZA"/>
        </w:rPr>
      </w:pPr>
    </w:p>
    <w:p w14:paraId="1508FDE8" w14:textId="24EF94EC" w:rsidR="53F3C1E6" w:rsidRPr="003F111D" w:rsidRDefault="5A36D2A9" w:rsidP="003F111D">
      <w:pPr>
        <w:pStyle w:val="BodyText"/>
        <w:spacing w:line="271" w:lineRule="auto"/>
        <w:ind w:left="831" w:right="152"/>
        <w:jc w:val="both"/>
        <w:rPr>
          <w:rFonts w:ascii="Arial" w:hAnsi="Arial" w:cs="Arial"/>
          <w:sz w:val="22"/>
          <w:szCs w:val="22"/>
          <w:lang w:val="en-ZA"/>
        </w:rPr>
      </w:pPr>
      <w:r w:rsidRPr="003F111D">
        <w:rPr>
          <w:rFonts w:ascii="Arial" w:hAnsi="Arial" w:cs="Arial"/>
          <w:i/>
          <w:sz w:val="22"/>
          <w:szCs w:val="22"/>
          <w:lang w:val="en-ZA"/>
        </w:rPr>
        <w:t xml:space="preserve">Response: </w:t>
      </w:r>
      <w:r w:rsidR="152AA8F7" w:rsidRPr="003F111D">
        <w:rPr>
          <w:rFonts w:ascii="Arial" w:hAnsi="Arial" w:cs="Arial"/>
          <w:i/>
          <w:sz w:val="22"/>
          <w:szCs w:val="22"/>
          <w:u w:val="single"/>
          <w:lang w:val="en-ZA"/>
        </w:rPr>
        <w:t>Comment misplaced</w:t>
      </w:r>
      <w:r w:rsidRPr="003F111D">
        <w:rPr>
          <w:rFonts w:ascii="Arial" w:hAnsi="Arial" w:cs="Arial"/>
          <w:i/>
          <w:sz w:val="22"/>
          <w:szCs w:val="22"/>
          <w:lang w:val="en-ZA"/>
        </w:rPr>
        <w:t xml:space="preserve">. </w:t>
      </w:r>
      <w:r w:rsidR="729CA22B" w:rsidRPr="003F111D">
        <w:rPr>
          <w:rFonts w:ascii="Arial" w:hAnsi="Arial" w:cs="Arial"/>
          <w:sz w:val="22"/>
          <w:szCs w:val="22"/>
          <w:lang w:val="en-ZA"/>
        </w:rPr>
        <w:t xml:space="preserve">There is a clause that provides for the Domestic Minimum Top-up Tax calculations for Domestic Constituent Entities that are Minority-Owned Constituent Entities, Domestic Constituent Entities that are Investment Entities, Domestic Joint Venture Groups and other Domestic Constituent Entities. </w:t>
      </w:r>
    </w:p>
    <w:p w14:paraId="73AEFFE2" w14:textId="7B104EAC" w:rsidR="53F3C1E6" w:rsidRPr="003F111D" w:rsidRDefault="53F3C1E6" w:rsidP="047E92A0">
      <w:pPr>
        <w:pStyle w:val="BodyText"/>
        <w:spacing w:before="1" w:line="271" w:lineRule="auto"/>
        <w:ind w:left="831" w:right="152"/>
        <w:jc w:val="both"/>
        <w:rPr>
          <w:rFonts w:ascii="Arial"/>
          <w:lang w:val="en-ZA"/>
        </w:rPr>
      </w:pPr>
    </w:p>
    <w:p w14:paraId="4510899E" w14:textId="590C49A2" w:rsidR="53F3C1E6" w:rsidRPr="003F111D" w:rsidRDefault="5A36D2A9" w:rsidP="251BE3F0">
      <w:pPr>
        <w:pStyle w:val="BodyText"/>
        <w:spacing w:before="1" w:line="271" w:lineRule="auto"/>
        <w:ind w:left="492" w:right="153"/>
        <w:jc w:val="both"/>
        <w:rPr>
          <w:rFonts w:ascii="Arial" w:hAnsi="Arial" w:cs="Arial"/>
          <w:sz w:val="22"/>
          <w:szCs w:val="22"/>
          <w:lang w:val="en-ZA"/>
        </w:rPr>
      </w:pPr>
      <w:r w:rsidRPr="003F111D">
        <w:rPr>
          <w:rFonts w:ascii="Arial" w:hAnsi="Arial" w:cs="Arial"/>
          <w:i/>
          <w:sz w:val="22"/>
          <w:szCs w:val="22"/>
          <w:lang w:val="en-ZA"/>
        </w:rPr>
        <w:t xml:space="preserve">Comment: </w:t>
      </w:r>
      <w:r w:rsidR="67BEBD5A" w:rsidRPr="003F111D">
        <w:rPr>
          <w:rFonts w:ascii="Arial" w:hAnsi="Arial" w:cs="Arial"/>
          <w:sz w:val="22"/>
          <w:szCs w:val="22"/>
          <w:lang w:val="en-ZA"/>
        </w:rPr>
        <w:t>Request clarity on how South African tax resident MNEs that fall within the definition of partially owned parent entities must comply with the GLoBE Rules.</w:t>
      </w:r>
    </w:p>
    <w:p w14:paraId="458B8C51" w14:textId="193D3B8D" w:rsidR="53F3C1E6" w:rsidRPr="004C639D" w:rsidRDefault="53F3C1E6" w:rsidP="06D992F4">
      <w:pPr>
        <w:pStyle w:val="BodyText"/>
        <w:spacing w:before="1" w:line="271" w:lineRule="auto"/>
        <w:ind w:left="492" w:right="153"/>
        <w:jc w:val="both"/>
        <w:rPr>
          <w:lang w:val="en-ZA"/>
        </w:rPr>
      </w:pPr>
    </w:p>
    <w:p w14:paraId="255C0B22" w14:textId="4A6C5163" w:rsidR="53F3C1E6" w:rsidRPr="003F111D" w:rsidRDefault="5A36D2A9" w:rsidP="003F111D">
      <w:pPr>
        <w:pStyle w:val="BodyText"/>
        <w:spacing w:line="271" w:lineRule="auto"/>
        <w:ind w:left="831" w:right="152"/>
        <w:jc w:val="both"/>
        <w:rPr>
          <w:rFonts w:ascii="Arial" w:hAnsi="Arial" w:cs="Arial"/>
          <w:i/>
          <w:sz w:val="22"/>
          <w:szCs w:val="22"/>
          <w:lang w:val="en-ZA"/>
        </w:rPr>
      </w:pPr>
      <w:r w:rsidRPr="003F111D">
        <w:rPr>
          <w:rFonts w:ascii="Arial" w:hAnsi="Arial" w:cs="Arial"/>
          <w:i/>
          <w:sz w:val="22"/>
          <w:szCs w:val="22"/>
          <w:lang w:val="en-ZA"/>
        </w:rPr>
        <w:t xml:space="preserve">Response: </w:t>
      </w:r>
      <w:r w:rsidR="4AEBDA76" w:rsidRPr="003F111D">
        <w:rPr>
          <w:rFonts w:ascii="Arial" w:hAnsi="Arial" w:cs="Arial"/>
          <w:sz w:val="22"/>
          <w:szCs w:val="22"/>
          <w:u w:val="single"/>
          <w:lang w:val="en-ZA"/>
        </w:rPr>
        <w:t>A</w:t>
      </w:r>
      <w:r w:rsidRPr="003F111D">
        <w:rPr>
          <w:rFonts w:ascii="Arial" w:hAnsi="Arial" w:cs="Arial"/>
          <w:sz w:val="22"/>
          <w:szCs w:val="22"/>
          <w:u w:val="single"/>
          <w:lang w:val="en-ZA"/>
        </w:rPr>
        <w:t>ccepted</w:t>
      </w:r>
      <w:r w:rsidRPr="003F111D">
        <w:rPr>
          <w:rFonts w:ascii="Arial" w:hAnsi="Arial" w:cs="Arial"/>
          <w:sz w:val="22"/>
          <w:szCs w:val="22"/>
          <w:lang w:val="en-ZA"/>
        </w:rPr>
        <w:t xml:space="preserve">. </w:t>
      </w:r>
      <w:r w:rsidR="05223E5C" w:rsidRPr="003F111D">
        <w:rPr>
          <w:rFonts w:ascii="Arial" w:hAnsi="Arial" w:cs="Arial"/>
          <w:sz w:val="22"/>
          <w:szCs w:val="22"/>
          <w:lang w:val="en-ZA"/>
        </w:rPr>
        <w:t>Clarification in the Explanatory Memorandum on the intermediate parent entities that owns a low-taxed constituent entity and ordering rules in instances where there are two or more intermediate parent entities that have a stake in a low-taxed constituent entity have been provided.</w:t>
      </w:r>
      <w:r w:rsidR="05223E5C" w:rsidRPr="003F111D">
        <w:rPr>
          <w:rFonts w:ascii="Arial" w:hAnsi="Arial" w:cs="Arial"/>
          <w:i/>
          <w:sz w:val="22"/>
          <w:szCs w:val="22"/>
          <w:lang w:val="en-ZA"/>
        </w:rPr>
        <w:t xml:space="preserve"> </w:t>
      </w:r>
    </w:p>
    <w:p w14:paraId="0861A846" w14:textId="5C592F79" w:rsidR="15ECB34E" w:rsidRPr="003F111D" w:rsidRDefault="15ECB34E" w:rsidP="15ECB34E">
      <w:pPr>
        <w:pStyle w:val="BodyText"/>
        <w:spacing w:before="1" w:line="271" w:lineRule="auto"/>
        <w:ind w:left="831" w:right="152"/>
        <w:jc w:val="both"/>
        <w:rPr>
          <w:rFonts w:ascii="Arial"/>
          <w:lang w:val="en-ZA"/>
        </w:rPr>
      </w:pPr>
    </w:p>
    <w:p w14:paraId="2E956BBE" w14:textId="35BF8C5E" w:rsidR="53F3C1E6" w:rsidRPr="003F111D" w:rsidRDefault="5A36D2A9" w:rsidP="06D992F4">
      <w:pPr>
        <w:pStyle w:val="BodyText"/>
        <w:spacing w:before="1" w:line="271" w:lineRule="auto"/>
        <w:ind w:left="492" w:right="153"/>
        <w:jc w:val="both"/>
        <w:rPr>
          <w:rFonts w:ascii="Arial" w:hAnsi="Arial" w:cs="Arial"/>
          <w:i/>
          <w:sz w:val="22"/>
          <w:szCs w:val="22"/>
          <w:lang w:val="en-ZA"/>
        </w:rPr>
      </w:pPr>
      <w:r w:rsidRPr="003F111D">
        <w:rPr>
          <w:rFonts w:ascii="Arial" w:hAnsi="Arial" w:cs="Arial"/>
          <w:i/>
          <w:sz w:val="22"/>
          <w:szCs w:val="22"/>
          <w:lang w:val="en-ZA"/>
        </w:rPr>
        <w:t>Comment:</w:t>
      </w:r>
      <w:r w:rsidR="4A50B16F" w:rsidRPr="003F111D">
        <w:rPr>
          <w:rFonts w:ascii="Arial" w:hAnsi="Arial" w:cs="Arial"/>
          <w:i/>
          <w:sz w:val="22"/>
          <w:szCs w:val="22"/>
          <w:lang w:val="en-ZA"/>
        </w:rPr>
        <w:t xml:space="preserve"> </w:t>
      </w:r>
      <w:r w:rsidR="4A50B16F" w:rsidRPr="003F111D">
        <w:rPr>
          <w:rFonts w:ascii="Arial" w:hAnsi="Arial" w:cs="Arial"/>
          <w:sz w:val="22"/>
          <w:szCs w:val="22"/>
          <w:lang w:val="en-ZA"/>
        </w:rPr>
        <w:t>There may potentially be many practicalities that NT and/or SARS have not considered and could not be resolved in such a short period of time, for example relating to excluded entities, or the interaction with the CFC Rules, and hence would warrant a more prolonged consultative process</w:t>
      </w:r>
      <w:r w:rsidR="4A50B16F" w:rsidRPr="003F111D">
        <w:rPr>
          <w:rFonts w:ascii="Arial" w:hAnsi="Arial" w:cs="Arial"/>
          <w:i/>
          <w:sz w:val="22"/>
          <w:szCs w:val="22"/>
          <w:lang w:val="en-ZA"/>
        </w:rPr>
        <w:t>.</w:t>
      </w:r>
    </w:p>
    <w:p w14:paraId="4773FA52" w14:textId="77777777" w:rsidR="53F3C1E6" w:rsidRPr="004C639D" w:rsidRDefault="53F3C1E6" w:rsidP="06D992F4">
      <w:pPr>
        <w:pStyle w:val="BodyText"/>
        <w:spacing w:before="1" w:line="271" w:lineRule="auto"/>
        <w:ind w:left="492" w:right="153"/>
        <w:jc w:val="both"/>
        <w:rPr>
          <w:lang w:val="en-ZA"/>
        </w:rPr>
      </w:pPr>
    </w:p>
    <w:p w14:paraId="2BC67129" w14:textId="160CD8EB" w:rsidR="53F3C1E6" w:rsidRPr="003F111D" w:rsidRDefault="5A36D2A9" w:rsidP="003F111D">
      <w:pPr>
        <w:pStyle w:val="BodyText"/>
        <w:spacing w:line="271" w:lineRule="auto"/>
        <w:ind w:left="831" w:right="152"/>
        <w:jc w:val="both"/>
        <w:rPr>
          <w:rFonts w:ascii="Arial" w:hAnsi="Arial" w:cs="Arial"/>
          <w:sz w:val="22"/>
          <w:szCs w:val="22"/>
          <w:lang w:val="en-ZA"/>
        </w:rPr>
      </w:pPr>
      <w:r w:rsidRPr="003F111D">
        <w:rPr>
          <w:rFonts w:ascii="Arial" w:hAnsi="Arial" w:cs="Arial"/>
          <w:i/>
          <w:sz w:val="22"/>
          <w:szCs w:val="22"/>
          <w:lang w:val="en-ZA"/>
        </w:rPr>
        <w:t xml:space="preserve">Response: </w:t>
      </w:r>
      <w:r w:rsidR="39E1C447" w:rsidRPr="003F111D">
        <w:rPr>
          <w:rFonts w:ascii="Arial" w:hAnsi="Arial" w:cs="Arial"/>
          <w:sz w:val="22"/>
          <w:szCs w:val="22"/>
          <w:u w:val="single"/>
          <w:lang w:val="en-ZA"/>
        </w:rPr>
        <w:t>Comment misplaced</w:t>
      </w:r>
      <w:r w:rsidRPr="003F111D">
        <w:rPr>
          <w:rFonts w:ascii="Arial" w:hAnsi="Arial" w:cs="Arial"/>
          <w:sz w:val="22"/>
          <w:szCs w:val="22"/>
          <w:lang w:val="en-ZA"/>
        </w:rPr>
        <w:t>. The checks and balances present with the refinery of gold and the export thereof are not the same as those relating to silver and other metals.</w:t>
      </w:r>
      <w:r w:rsidR="3DF5DAE5" w:rsidRPr="003F111D">
        <w:rPr>
          <w:rFonts w:ascii="Arial" w:hAnsi="Arial" w:cs="Arial"/>
          <w:sz w:val="22"/>
          <w:szCs w:val="22"/>
          <w:lang w:val="en-ZA"/>
        </w:rPr>
        <w:t xml:space="preserve"> It is unclear what practicalities are referred in this comment. The following entities are excluded from the GloBE Model Rules, governmental entities; international organisations; non-profit organisations; pension funds; investment funds that are UPEs; and real estate investment vehicles that are UPEs. To the extent that the issue relates to the pension funds that invest via life insurance companies, the issue was addressed above.</w:t>
      </w:r>
    </w:p>
    <w:p w14:paraId="0CEF1A79" w14:textId="78FFAC71" w:rsidR="53F3C1E6" w:rsidRPr="003F111D" w:rsidRDefault="53F3C1E6" w:rsidP="000F7406">
      <w:pPr>
        <w:pStyle w:val="BodyText"/>
        <w:spacing w:before="1" w:line="271" w:lineRule="auto"/>
        <w:ind w:left="831" w:right="152"/>
        <w:jc w:val="both"/>
        <w:rPr>
          <w:rFonts w:ascii="Arial"/>
          <w:lang w:val="en-ZA"/>
        </w:rPr>
      </w:pPr>
    </w:p>
    <w:p w14:paraId="0FB13CBD" w14:textId="019D75EA" w:rsidR="53F3C1E6" w:rsidRPr="003F111D" w:rsidRDefault="3DF5DAE5" w:rsidP="00873986">
      <w:pPr>
        <w:pStyle w:val="BodyText"/>
        <w:spacing w:line="271" w:lineRule="auto"/>
        <w:ind w:left="831" w:right="152"/>
        <w:jc w:val="both"/>
        <w:rPr>
          <w:rFonts w:ascii="Arial" w:hAnsi="Arial" w:cs="Arial"/>
          <w:sz w:val="22"/>
          <w:szCs w:val="22"/>
          <w:lang w:val="en-ZA"/>
        </w:rPr>
      </w:pPr>
      <w:r w:rsidRPr="003F111D">
        <w:rPr>
          <w:rFonts w:ascii="Arial" w:hAnsi="Arial" w:cs="Arial"/>
          <w:sz w:val="22"/>
          <w:szCs w:val="22"/>
          <w:lang w:val="en-ZA"/>
        </w:rPr>
        <w:t>On the interaction with the CFC rules, the following can be stated, IIR: tax on CFC income gets allocated to the CFC and is not taken into account by the shareholder. The CFC income is not GloBE Income of the shareholder. While in the case of QDMTT, CFC taxes are generally excluded in a QDMTT for the shareholder and the CFC.</w:t>
      </w:r>
    </w:p>
    <w:p w14:paraId="7AF855A9" w14:textId="77777777" w:rsidR="00E86A7E" w:rsidRPr="003F111D" w:rsidRDefault="00E86A7E" w:rsidP="00403DF5">
      <w:pPr>
        <w:pStyle w:val="BodyText"/>
        <w:spacing w:line="271" w:lineRule="auto"/>
        <w:ind w:right="152"/>
        <w:jc w:val="both"/>
        <w:rPr>
          <w:rFonts w:ascii="Arial" w:hAnsi="Arial" w:cs="Arial"/>
          <w:sz w:val="22"/>
          <w:szCs w:val="22"/>
          <w:lang w:val="en-ZA"/>
        </w:rPr>
      </w:pPr>
    </w:p>
    <w:p w14:paraId="78DE0F27" w14:textId="77777777" w:rsidR="00E86A7E" w:rsidRPr="003F111D" w:rsidRDefault="00E86A7E" w:rsidP="00873986">
      <w:pPr>
        <w:pStyle w:val="BodyText"/>
        <w:spacing w:line="271" w:lineRule="auto"/>
        <w:ind w:left="831" w:right="152"/>
        <w:jc w:val="both"/>
        <w:rPr>
          <w:rFonts w:ascii="Arial" w:hAnsi="Arial" w:cs="Arial"/>
          <w:sz w:val="22"/>
          <w:szCs w:val="22"/>
          <w:lang w:val="en-ZA"/>
        </w:rPr>
      </w:pPr>
    </w:p>
    <w:p w14:paraId="3DBBE568" w14:textId="77777777" w:rsidR="00D972AE" w:rsidRPr="004325A1" w:rsidRDefault="00D972AE" w:rsidP="004325A1">
      <w:pPr>
        <w:pStyle w:val="4Comment"/>
        <w:ind w:left="0"/>
        <w:jc w:val="center"/>
        <w:rPr>
          <w:b/>
          <w:bCs/>
          <w:sz w:val="28"/>
          <w:szCs w:val="28"/>
        </w:rPr>
      </w:pPr>
      <w:r w:rsidRPr="004325A1">
        <w:rPr>
          <w:b/>
          <w:bCs/>
          <w:sz w:val="28"/>
          <w:szCs w:val="28"/>
        </w:rPr>
        <w:t>2024 Draft Global Minimum Tax Administration Bill</w:t>
      </w:r>
    </w:p>
    <w:p w14:paraId="6C5C8FAF" w14:textId="77777777" w:rsidR="00D972AE" w:rsidRPr="004C639D" w:rsidRDefault="00D972AE" w:rsidP="00D972AE">
      <w:pPr>
        <w:pStyle w:val="1Section"/>
        <w:numPr>
          <w:ilvl w:val="0"/>
          <w:numId w:val="37"/>
        </w:numPr>
        <w:spacing w:line="276" w:lineRule="auto"/>
        <w:ind w:left="450" w:hanging="360"/>
      </w:pPr>
      <w:bookmarkStart w:id="132" w:name="_Toc180187824"/>
      <w:bookmarkStart w:id="133" w:name="_Toc180420384"/>
      <w:bookmarkStart w:id="134" w:name="_Toc189212136"/>
      <w:r w:rsidRPr="004C639D">
        <w:t>DRAFT GLOBAL MINIMUM TAX ADMINISTRATION BILL</w:t>
      </w:r>
      <w:bookmarkEnd w:id="132"/>
      <w:bookmarkEnd w:id="133"/>
      <w:bookmarkEnd w:id="134"/>
      <w:r w:rsidRPr="004C639D">
        <w:t xml:space="preserve"> </w:t>
      </w:r>
    </w:p>
    <w:p w14:paraId="360122AA" w14:textId="77777777" w:rsidR="00D972AE" w:rsidRPr="00403DF5" w:rsidRDefault="00D972AE" w:rsidP="00403DF5">
      <w:pPr>
        <w:pStyle w:val="Heading3"/>
        <w:numPr>
          <w:ilvl w:val="1"/>
          <w:numId w:val="37"/>
        </w:numPr>
        <w:tabs>
          <w:tab w:val="left" w:pos="1134"/>
        </w:tabs>
        <w:spacing w:before="360" w:after="120"/>
        <w:ind w:left="1418" w:right="153" w:hanging="862"/>
        <w:jc w:val="both"/>
        <w:rPr>
          <w:sz w:val="22"/>
          <w:szCs w:val="22"/>
          <w:lang w:val="en-ZA"/>
        </w:rPr>
      </w:pPr>
      <w:bookmarkStart w:id="135" w:name="_Toc180420385"/>
      <w:bookmarkStart w:id="136" w:name="_Toc189212137"/>
      <w:r w:rsidRPr="00403DF5">
        <w:rPr>
          <w:sz w:val="22"/>
          <w:szCs w:val="22"/>
          <w:lang w:val="en-ZA"/>
        </w:rPr>
        <w:t>Definition of “GloBE Information Return”</w:t>
      </w:r>
      <w:bookmarkEnd w:id="135"/>
      <w:bookmarkEnd w:id="136"/>
    </w:p>
    <w:p w14:paraId="649B916C" w14:textId="77777777" w:rsidR="00D972AE" w:rsidRPr="00403DF5" w:rsidRDefault="00D972AE" w:rsidP="00D972AE">
      <w:pPr>
        <w:pStyle w:val="BodyText"/>
        <w:spacing w:before="120" w:after="240"/>
        <w:ind w:left="493" w:right="198"/>
        <w:jc w:val="both"/>
        <w:rPr>
          <w:rFonts w:ascii="Arial" w:hAnsi="Arial" w:cs="Arial"/>
          <w:sz w:val="22"/>
          <w:szCs w:val="22"/>
          <w:lang w:val="en-ZA"/>
        </w:rPr>
      </w:pPr>
      <w:r w:rsidRPr="00403DF5">
        <w:rPr>
          <w:rFonts w:ascii="Arial" w:hAnsi="Arial" w:cs="Arial"/>
          <w:sz w:val="22"/>
          <w:szCs w:val="22"/>
          <w:lang w:val="en-ZA"/>
        </w:rPr>
        <w:t>(Main</w:t>
      </w:r>
      <w:r w:rsidRPr="00403DF5">
        <w:rPr>
          <w:rFonts w:ascii="Arial" w:hAnsi="Arial" w:cs="Arial"/>
          <w:spacing w:val="-10"/>
          <w:sz w:val="22"/>
          <w:szCs w:val="22"/>
          <w:lang w:val="en-ZA"/>
        </w:rPr>
        <w:t xml:space="preserve"> </w:t>
      </w:r>
      <w:r w:rsidRPr="00403DF5">
        <w:rPr>
          <w:rFonts w:ascii="Arial" w:hAnsi="Arial" w:cs="Arial"/>
          <w:sz w:val="22"/>
          <w:szCs w:val="22"/>
          <w:lang w:val="en-ZA"/>
        </w:rPr>
        <w:t>reference:</w:t>
      </w:r>
      <w:r w:rsidRPr="00403DF5">
        <w:rPr>
          <w:rFonts w:ascii="Arial" w:hAnsi="Arial" w:cs="Arial"/>
          <w:spacing w:val="-6"/>
          <w:sz w:val="22"/>
          <w:szCs w:val="22"/>
          <w:lang w:val="en-ZA"/>
        </w:rPr>
        <w:t xml:space="preserve"> </w:t>
      </w:r>
      <w:r w:rsidRPr="00403DF5">
        <w:rPr>
          <w:rFonts w:ascii="Arial" w:hAnsi="Arial" w:cs="Arial"/>
          <w:sz w:val="22"/>
          <w:szCs w:val="22"/>
          <w:lang w:val="en-ZA"/>
        </w:rPr>
        <w:t xml:space="preserve">Clause 1 </w:t>
      </w:r>
      <w:r w:rsidRPr="00403DF5">
        <w:rPr>
          <w:rFonts w:ascii="Arial" w:hAnsi="Arial" w:cs="Arial"/>
          <w:spacing w:val="-56"/>
          <w:sz w:val="22"/>
          <w:szCs w:val="22"/>
          <w:lang w:val="en-ZA"/>
        </w:rPr>
        <w:t xml:space="preserve">  </w:t>
      </w:r>
      <w:r w:rsidRPr="00403DF5">
        <w:rPr>
          <w:rFonts w:ascii="Arial" w:hAnsi="Arial" w:cs="Arial"/>
          <w:sz w:val="22"/>
          <w:szCs w:val="22"/>
          <w:lang w:val="en-ZA"/>
        </w:rPr>
        <w:t>of</w:t>
      </w:r>
      <w:r w:rsidRPr="00403DF5">
        <w:rPr>
          <w:rFonts w:ascii="Arial" w:hAnsi="Arial" w:cs="Arial"/>
          <w:spacing w:val="-2"/>
          <w:sz w:val="22"/>
          <w:szCs w:val="22"/>
          <w:lang w:val="en-ZA"/>
        </w:rPr>
        <w:t xml:space="preserve"> </w:t>
      </w:r>
      <w:r w:rsidRPr="00403DF5">
        <w:rPr>
          <w:rFonts w:ascii="Arial" w:hAnsi="Arial" w:cs="Arial"/>
          <w:sz w:val="22"/>
          <w:szCs w:val="22"/>
          <w:lang w:val="en-ZA"/>
        </w:rPr>
        <w:t>the</w:t>
      </w:r>
      <w:r w:rsidRPr="00403DF5">
        <w:rPr>
          <w:rFonts w:ascii="Arial" w:hAnsi="Arial" w:cs="Arial"/>
          <w:spacing w:val="-2"/>
          <w:sz w:val="22"/>
          <w:szCs w:val="22"/>
          <w:lang w:val="en-ZA"/>
        </w:rPr>
        <w:t xml:space="preserve"> </w:t>
      </w:r>
      <w:r w:rsidRPr="00403DF5">
        <w:rPr>
          <w:rFonts w:ascii="Arial" w:hAnsi="Arial" w:cs="Arial"/>
          <w:sz w:val="22"/>
          <w:szCs w:val="22"/>
          <w:lang w:val="en-ZA"/>
        </w:rPr>
        <w:t>Draft</w:t>
      </w:r>
      <w:r w:rsidRPr="00403DF5">
        <w:rPr>
          <w:rFonts w:ascii="Arial" w:hAnsi="Arial" w:cs="Arial"/>
          <w:spacing w:val="-1"/>
          <w:sz w:val="22"/>
          <w:szCs w:val="22"/>
          <w:lang w:val="en-ZA"/>
        </w:rPr>
        <w:t xml:space="preserve"> </w:t>
      </w:r>
      <w:r w:rsidRPr="00403DF5">
        <w:rPr>
          <w:rFonts w:ascii="Arial" w:hAnsi="Arial" w:cs="Arial"/>
          <w:sz w:val="22"/>
          <w:szCs w:val="22"/>
          <w:lang w:val="en-ZA"/>
        </w:rPr>
        <w:t>GMTA Bill)</w:t>
      </w:r>
    </w:p>
    <w:p w14:paraId="3F26C8E1" w14:textId="77777777" w:rsidR="00D972AE" w:rsidRPr="00403DF5" w:rsidRDefault="00D972AE" w:rsidP="00D972AE">
      <w:pPr>
        <w:pStyle w:val="BodyText"/>
        <w:spacing w:before="240" w:after="240"/>
        <w:ind w:left="493" w:right="153"/>
        <w:jc w:val="both"/>
        <w:rPr>
          <w:rFonts w:ascii="Arial" w:hAnsi="Arial" w:cs="Arial"/>
          <w:iCs/>
          <w:sz w:val="22"/>
          <w:szCs w:val="22"/>
          <w:lang w:val="en-ZA"/>
        </w:rPr>
      </w:pPr>
      <w:r w:rsidRPr="00403DF5">
        <w:rPr>
          <w:rFonts w:ascii="Arial" w:hAnsi="Arial" w:cs="Arial"/>
          <w:i/>
          <w:sz w:val="22"/>
          <w:szCs w:val="22"/>
          <w:lang w:val="en-ZA"/>
        </w:rPr>
        <w:t xml:space="preserve">Comment: </w:t>
      </w:r>
      <w:r w:rsidRPr="00403DF5">
        <w:rPr>
          <w:rFonts w:ascii="Arial" w:hAnsi="Arial" w:cs="Arial"/>
          <w:iCs/>
          <w:sz w:val="22"/>
          <w:szCs w:val="22"/>
          <w:lang w:val="en-ZA"/>
        </w:rPr>
        <w:t xml:space="preserve">The definition of </w:t>
      </w:r>
      <w:r w:rsidRPr="00403DF5">
        <w:rPr>
          <w:rFonts w:ascii="Arial" w:hAnsi="Arial" w:cs="Arial"/>
          <w:sz w:val="22"/>
          <w:szCs w:val="22"/>
          <w:lang w:val="en-ZA"/>
        </w:rPr>
        <w:t>“GloBE Information Return” (GIR) is missing the ambulatory wording used in the Draft GMT Bill for other references to OECD documents.</w:t>
      </w:r>
    </w:p>
    <w:p w14:paraId="4DF5481D" w14:textId="77777777" w:rsidR="00D972AE" w:rsidRPr="00403DF5" w:rsidRDefault="00D972AE" w:rsidP="00D972AE">
      <w:pPr>
        <w:pStyle w:val="BodyText"/>
        <w:spacing w:before="240" w:after="240"/>
        <w:ind w:left="831" w:right="152"/>
        <w:jc w:val="both"/>
        <w:rPr>
          <w:rFonts w:ascii="Arial" w:hAnsi="Arial" w:cs="Arial"/>
          <w:iCs/>
          <w:sz w:val="22"/>
          <w:szCs w:val="22"/>
          <w:lang w:val="en-ZA"/>
        </w:rPr>
      </w:pPr>
      <w:r w:rsidRPr="00403DF5">
        <w:rPr>
          <w:rFonts w:ascii="Arial" w:hAnsi="Arial" w:cs="Arial"/>
          <w:i/>
          <w:sz w:val="22"/>
          <w:szCs w:val="22"/>
          <w:lang w:val="en-ZA"/>
        </w:rPr>
        <w:t xml:space="preserve">Response: </w:t>
      </w:r>
      <w:r w:rsidRPr="00403DF5">
        <w:rPr>
          <w:rFonts w:ascii="Arial" w:hAnsi="Arial" w:cs="Arial"/>
          <w:iCs/>
          <w:sz w:val="22"/>
          <w:szCs w:val="22"/>
          <w:u w:val="single"/>
          <w:lang w:val="en-ZA"/>
        </w:rPr>
        <w:t>Accepted</w:t>
      </w:r>
      <w:r w:rsidRPr="00403DF5">
        <w:rPr>
          <w:rFonts w:ascii="Arial" w:hAnsi="Arial" w:cs="Arial"/>
          <w:iCs/>
          <w:sz w:val="22"/>
          <w:szCs w:val="22"/>
          <w:lang w:val="en-ZA"/>
        </w:rPr>
        <w:t>. The definition of the GIR has been reworded to explicitly reference the GloBE Model rules as defined in the Draft GMT Bill and applied in accordance with that Bill.</w:t>
      </w:r>
    </w:p>
    <w:p w14:paraId="55DC5B59" w14:textId="77777777" w:rsidR="00D972AE" w:rsidRPr="00403DF5" w:rsidRDefault="00D972AE" w:rsidP="00D972AE">
      <w:pPr>
        <w:pStyle w:val="BodyText"/>
        <w:spacing w:before="360" w:after="240"/>
        <w:ind w:left="493" w:right="153"/>
        <w:jc w:val="both"/>
        <w:rPr>
          <w:rFonts w:ascii="Arial" w:hAnsi="Arial" w:cs="Arial"/>
          <w:iCs/>
          <w:sz w:val="22"/>
          <w:szCs w:val="22"/>
          <w:lang w:val="en-ZA"/>
        </w:rPr>
      </w:pPr>
      <w:r w:rsidRPr="00403DF5">
        <w:rPr>
          <w:rFonts w:ascii="Arial" w:hAnsi="Arial" w:cs="Arial"/>
          <w:i/>
          <w:sz w:val="22"/>
          <w:szCs w:val="22"/>
          <w:lang w:val="en-ZA"/>
        </w:rPr>
        <w:t>Comment</w:t>
      </w:r>
      <w:r w:rsidRPr="00403DF5">
        <w:rPr>
          <w:rFonts w:ascii="Arial" w:hAnsi="Arial" w:cs="Arial"/>
          <w:iCs/>
          <w:sz w:val="22"/>
          <w:szCs w:val="22"/>
          <w:lang w:val="en-ZA"/>
        </w:rPr>
        <w:t xml:space="preserve">: The definition is confusing, as it refers to the document entitled OECD (2023), Tax Challenges Arising from the Digitalisation of the Economy – GloBE Information Return (Pillar Two), OECD/G20 Inclusive Framework on BEPS, OECD, Paris. It is unclear if this applies to both a return under clause 2 as well as clause 4. </w:t>
      </w:r>
    </w:p>
    <w:p w14:paraId="01A944DF" w14:textId="77777777" w:rsidR="00D972AE" w:rsidRPr="00403DF5" w:rsidRDefault="00D972AE" w:rsidP="00D972AE">
      <w:pPr>
        <w:pStyle w:val="BodyText"/>
        <w:spacing w:before="240" w:after="240"/>
        <w:ind w:left="831" w:right="152"/>
        <w:jc w:val="both"/>
        <w:rPr>
          <w:rFonts w:ascii="Arial" w:hAnsi="Arial" w:cs="Arial"/>
          <w:iCs/>
          <w:sz w:val="22"/>
          <w:szCs w:val="22"/>
          <w:lang w:val="en-ZA"/>
        </w:rPr>
      </w:pPr>
      <w:r w:rsidRPr="00403DF5">
        <w:rPr>
          <w:rFonts w:ascii="Arial" w:hAnsi="Arial" w:cs="Arial"/>
          <w:i/>
          <w:sz w:val="22"/>
          <w:szCs w:val="22"/>
          <w:lang w:val="en-ZA"/>
        </w:rPr>
        <w:t xml:space="preserve">Response: </w:t>
      </w:r>
      <w:r w:rsidRPr="00403DF5">
        <w:rPr>
          <w:rFonts w:ascii="Arial" w:hAnsi="Arial" w:cs="Arial"/>
          <w:iCs/>
          <w:sz w:val="22"/>
          <w:szCs w:val="22"/>
          <w:u w:val="single"/>
          <w:lang w:val="en-ZA"/>
        </w:rPr>
        <w:t>Accepted</w:t>
      </w:r>
      <w:r w:rsidRPr="00403DF5">
        <w:rPr>
          <w:rFonts w:ascii="Arial" w:hAnsi="Arial" w:cs="Arial"/>
          <w:iCs/>
          <w:sz w:val="22"/>
          <w:szCs w:val="22"/>
          <w:lang w:val="en-ZA"/>
        </w:rPr>
        <w:t>. The definition of a GIR has been changed to have a different meaning in a domestic context, i.e. a GIR filed under clause 2 by a Domestic Constituent Entity or a Designated Local Entity on behalf of  one or more Domestic Constituent Entities, than in an international context, i.e. a GIR that is filed under clause 4 by the Ultimate Parent Entity or by a Designated Filing Entity appointed by the MNE Group, in a jurisdiction that has a Qualifying Competent Authority Agreement with South Africa. This change also requires consequential changes to clauses 2 and 4.</w:t>
      </w:r>
    </w:p>
    <w:p w14:paraId="55C3C2D4" w14:textId="77777777" w:rsidR="00D972AE" w:rsidRPr="00403DF5" w:rsidRDefault="00D972AE" w:rsidP="00403DF5">
      <w:pPr>
        <w:pStyle w:val="Heading3"/>
        <w:numPr>
          <w:ilvl w:val="1"/>
          <w:numId w:val="37"/>
        </w:numPr>
        <w:tabs>
          <w:tab w:val="left" w:pos="1134"/>
        </w:tabs>
        <w:spacing w:before="360" w:after="120"/>
        <w:ind w:left="993" w:right="153" w:hanging="567"/>
        <w:jc w:val="both"/>
        <w:rPr>
          <w:sz w:val="22"/>
          <w:szCs w:val="22"/>
          <w:lang w:val="en-ZA"/>
        </w:rPr>
      </w:pPr>
      <w:bookmarkStart w:id="137" w:name="_Toc180420386"/>
      <w:bookmarkStart w:id="138" w:name="_Toc189212138"/>
      <w:r w:rsidRPr="00403DF5">
        <w:rPr>
          <w:sz w:val="22"/>
          <w:szCs w:val="22"/>
          <w:lang w:val="en-ZA"/>
        </w:rPr>
        <w:t>Requirement to submit a GloBE Information Return and notice of Designated Filing Entity</w:t>
      </w:r>
      <w:bookmarkEnd w:id="137"/>
      <w:bookmarkEnd w:id="138"/>
    </w:p>
    <w:p w14:paraId="5216121D" w14:textId="77777777" w:rsidR="00D972AE" w:rsidRPr="00403DF5" w:rsidRDefault="00D972AE" w:rsidP="00D972AE">
      <w:pPr>
        <w:pStyle w:val="BodyText"/>
        <w:spacing w:before="120" w:after="240"/>
        <w:ind w:left="493" w:right="153"/>
        <w:jc w:val="both"/>
        <w:rPr>
          <w:rFonts w:ascii="Arial" w:hAnsi="Arial" w:cs="Arial"/>
          <w:iCs/>
          <w:sz w:val="22"/>
          <w:szCs w:val="22"/>
          <w:lang w:val="en-ZA"/>
        </w:rPr>
      </w:pPr>
      <w:r w:rsidRPr="00403DF5">
        <w:rPr>
          <w:rFonts w:ascii="Arial" w:hAnsi="Arial" w:cs="Arial"/>
          <w:sz w:val="22"/>
          <w:szCs w:val="22"/>
          <w:lang w:val="en-ZA"/>
        </w:rPr>
        <w:t>(Main</w:t>
      </w:r>
      <w:r w:rsidRPr="00403DF5">
        <w:rPr>
          <w:rFonts w:ascii="Arial" w:hAnsi="Arial" w:cs="Arial"/>
          <w:spacing w:val="-10"/>
          <w:sz w:val="22"/>
          <w:szCs w:val="22"/>
          <w:lang w:val="en-ZA"/>
        </w:rPr>
        <w:t xml:space="preserve"> </w:t>
      </w:r>
      <w:r w:rsidRPr="00403DF5">
        <w:rPr>
          <w:rFonts w:ascii="Arial" w:hAnsi="Arial" w:cs="Arial"/>
          <w:sz w:val="22"/>
          <w:szCs w:val="22"/>
          <w:lang w:val="en-ZA"/>
        </w:rPr>
        <w:t>reference:</w:t>
      </w:r>
      <w:r w:rsidRPr="00403DF5">
        <w:rPr>
          <w:rFonts w:ascii="Arial" w:hAnsi="Arial" w:cs="Arial"/>
          <w:spacing w:val="-6"/>
          <w:sz w:val="22"/>
          <w:szCs w:val="22"/>
          <w:lang w:val="en-ZA"/>
        </w:rPr>
        <w:t xml:space="preserve"> </w:t>
      </w:r>
      <w:r w:rsidRPr="00403DF5">
        <w:rPr>
          <w:rFonts w:ascii="Arial" w:hAnsi="Arial" w:cs="Arial"/>
          <w:sz w:val="22"/>
          <w:szCs w:val="22"/>
          <w:lang w:val="en-ZA"/>
        </w:rPr>
        <w:t xml:space="preserve">Clause 2 </w:t>
      </w:r>
      <w:r w:rsidRPr="00403DF5">
        <w:rPr>
          <w:rFonts w:ascii="Arial" w:hAnsi="Arial" w:cs="Arial"/>
          <w:spacing w:val="-56"/>
          <w:sz w:val="22"/>
          <w:szCs w:val="22"/>
          <w:lang w:val="en-ZA"/>
        </w:rPr>
        <w:t xml:space="preserve">  </w:t>
      </w:r>
      <w:r w:rsidRPr="00403DF5">
        <w:rPr>
          <w:rFonts w:ascii="Arial" w:hAnsi="Arial" w:cs="Arial"/>
          <w:sz w:val="22"/>
          <w:szCs w:val="22"/>
          <w:lang w:val="en-ZA"/>
        </w:rPr>
        <w:t>of</w:t>
      </w:r>
      <w:r w:rsidRPr="00403DF5">
        <w:rPr>
          <w:rFonts w:ascii="Arial" w:hAnsi="Arial" w:cs="Arial"/>
          <w:spacing w:val="-2"/>
          <w:sz w:val="22"/>
          <w:szCs w:val="22"/>
          <w:lang w:val="en-ZA"/>
        </w:rPr>
        <w:t xml:space="preserve"> </w:t>
      </w:r>
      <w:r w:rsidRPr="00403DF5">
        <w:rPr>
          <w:rFonts w:ascii="Arial" w:hAnsi="Arial" w:cs="Arial"/>
          <w:sz w:val="22"/>
          <w:szCs w:val="22"/>
          <w:lang w:val="en-ZA"/>
        </w:rPr>
        <w:t>the</w:t>
      </w:r>
      <w:r w:rsidRPr="00403DF5">
        <w:rPr>
          <w:rFonts w:ascii="Arial" w:hAnsi="Arial" w:cs="Arial"/>
          <w:spacing w:val="-2"/>
          <w:sz w:val="22"/>
          <w:szCs w:val="22"/>
          <w:lang w:val="en-ZA"/>
        </w:rPr>
        <w:t xml:space="preserve"> </w:t>
      </w:r>
      <w:r w:rsidRPr="00403DF5">
        <w:rPr>
          <w:rFonts w:ascii="Arial" w:hAnsi="Arial" w:cs="Arial"/>
          <w:sz w:val="22"/>
          <w:szCs w:val="22"/>
          <w:lang w:val="en-ZA"/>
        </w:rPr>
        <w:t>Draft</w:t>
      </w:r>
      <w:r w:rsidRPr="00403DF5">
        <w:rPr>
          <w:rFonts w:ascii="Arial" w:hAnsi="Arial" w:cs="Arial"/>
          <w:spacing w:val="-1"/>
          <w:sz w:val="22"/>
          <w:szCs w:val="22"/>
          <w:lang w:val="en-ZA"/>
        </w:rPr>
        <w:t xml:space="preserve"> </w:t>
      </w:r>
      <w:r w:rsidRPr="00403DF5">
        <w:rPr>
          <w:rFonts w:ascii="Arial" w:hAnsi="Arial" w:cs="Arial"/>
          <w:sz w:val="22"/>
          <w:szCs w:val="22"/>
          <w:lang w:val="en-ZA"/>
        </w:rPr>
        <w:t>GMTA Bill)</w:t>
      </w:r>
      <w:r w:rsidRPr="00403DF5">
        <w:rPr>
          <w:rFonts w:ascii="Arial" w:hAnsi="Arial" w:cs="Arial"/>
          <w:iCs/>
          <w:sz w:val="22"/>
          <w:szCs w:val="22"/>
          <w:lang w:val="en-ZA"/>
        </w:rPr>
        <w:t xml:space="preserve"> </w:t>
      </w:r>
    </w:p>
    <w:p w14:paraId="33C1B256" w14:textId="77777777" w:rsidR="00D972AE" w:rsidRPr="00403DF5" w:rsidRDefault="00D972AE" w:rsidP="00D972AE">
      <w:pPr>
        <w:pStyle w:val="BodyText"/>
        <w:widowControl/>
        <w:spacing w:before="360" w:after="240"/>
        <w:ind w:left="493" w:right="153"/>
        <w:jc w:val="both"/>
        <w:rPr>
          <w:rFonts w:ascii="Arial" w:hAnsi="Arial" w:cs="Arial"/>
          <w:iCs/>
          <w:sz w:val="22"/>
          <w:szCs w:val="22"/>
          <w:lang w:val="en-ZA"/>
        </w:rPr>
      </w:pPr>
      <w:r w:rsidRPr="00403DF5">
        <w:rPr>
          <w:rFonts w:ascii="Arial" w:hAnsi="Arial" w:cs="Arial"/>
          <w:i/>
          <w:sz w:val="22"/>
          <w:szCs w:val="22"/>
          <w:lang w:val="en-ZA"/>
        </w:rPr>
        <w:t>Comment</w:t>
      </w:r>
      <w:r w:rsidRPr="00403DF5">
        <w:rPr>
          <w:rFonts w:ascii="Arial" w:hAnsi="Arial" w:cs="Arial"/>
          <w:iCs/>
          <w:sz w:val="22"/>
          <w:szCs w:val="22"/>
          <w:lang w:val="en-ZA"/>
        </w:rPr>
        <w:t>: If a Designated Local Entity (DLE) files a GIR on behalf of one or more Domestic Constituent Entities that appointed the DLE, the Domestic Constituent Entity(ies) that appointed the DLE must notify SARS accordingly no later than six months prior to the filing due date of the GIR under clause 3. It is proposed that a simplified approach, for example a manual email process, be followed for dealing with the notification requirements under clause 2(3)(b) and communicated via regulations, alternatively more granular guidance must be issued to clarify the format such a notification should take, method of submission and which platform it must be submitted through.</w:t>
      </w:r>
    </w:p>
    <w:p w14:paraId="28E351E1" w14:textId="77777777" w:rsidR="00D972AE" w:rsidRPr="00403DF5" w:rsidRDefault="00D972AE" w:rsidP="00D972AE">
      <w:pPr>
        <w:pStyle w:val="BodyText"/>
        <w:spacing w:before="240" w:after="240"/>
        <w:ind w:left="831" w:right="152"/>
        <w:jc w:val="both"/>
        <w:rPr>
          <w:rFonts w:ascii="Arial" w:hAnsi="Arial" w:cs="Arial"/>
          <w:iCs/>
          <w:sz w:val="22"/>
          <w:szCs w:val="22"/>
          <w:lang w:val="en-ZA"/>
        </w:rPr>
      </w:pPr>
      <w:r w:rsidRPr="00403DF5">
        <w:rPr>
          <w:rFonts w:ascii="Arial" w:hAnsi="Arial" w:cs="Arial"/>
          <w:i/>
          <w:sz w:val="22"/>
          <w:szCs w:val="22"/>
          <w:lang w:val="en-ZA"/>
        </w:rPr>
        <w:t xml:space="preserve">Response: </w:t>
      </w:r>
      <w:r w:rsidRPr="00403DF5">
        <w:rPr>
          <w:rFonts w:ascii="Arial" w:hAnsi="Arial" w:cs="Arial"/>
          <w:iCs/>
          <w:sz w:val="22"/>
          <w:szCs w:val="22"/>
          <w:u w:val="single"/>
          <w:lang w:val="en-ZA"/>
        </w:rPr>
        <w:t>Noted</w:t>
      </w:r>
      <w:r w:rsidRPr="00403DF5">
        <w:rPr>
          <w:rFonts w:ascii="Arial" w:hAnsi="Arial" w:cs="Arial"/>
          <w:iCs/>
          <w:sz w:val="22"/>
          <w:szCs w:val="22"/>
          <w:lang w:val="en-ZA"/>
        </w:rPr>
        <w:t>. The Tax Administration Act (TAA) will regulate any administrative requirement and procedure not regulated by the Draft GMT Bill or the Draft GMTA Bill but is required for their administration (clause 11(2)). As to whether the notice required under clause 2(3)</w:t>
      </w:r>
      <w:r w:rsidRPr="00403DF5">
        <w:rPr>
          <w:rFonts w:ascii="Arial" w:hAnsi="Arial" w:cs="Arial"/>
          <w:i/>
          <w:sz w:val="22"/>
          <w:szCs w:val="22"/>
          <w:lang w:val="en-ZA"/>
        </w:rPr>
        <w:t>(b)</w:t>
      </w:r>
      <w:r w:rsidRPr="00403DF5">
        <w:rPr>
          <w:rFonts w:ascii="Arial" w:hAnsi="Arial" w:cs="Arial"/>
          <w:iCs/>
          <w:sz w:val="22"/>
          <w:szCs w:val="22"/>
          <w:lang w:val="en-ZA"/>
        </w:rPr>
        <w:t xml:space="preserve"> will be a process using email or the eFiling platform, this will form part of the operational implementation of this Bill which generally caters for stakeholder input as well as a published standard operating procedure.  </w:t>
      </w:r>
    </w:p>
    <w:p w14:paraId="33C8E6E7" w14:textId="77777777" w:rsidR="00D972AE" w:rsidRPr="00403DF5" w:rsidRDefault="00D972AE" w:rsidP="00D972AE">
      <w:pPr>
        <w:pStyle w:val="BodyText"/>
        <w:keepNext/>
        <w:widowControl/>
        <w:spacing w:before="360" w:after="240"/>
        <w:ind w:left="493" w:right="153"/>
        <w:jc w:val="both"/>
        <w:rPr>
          <w:rFonts w:ascii="Arial" w:hAnsi="Arial" w:cs="Arial"/>
          <w:iCs/>
          <w:sz w:val="22"/>
          <w:szCs w:val="22"/>
          <w:lang w:val="en-ZA"/>
        </w:rPr>
      </w:pPr>
      <w:r w:rsidRPr="00403DF5">
        <w:rPr>
          <w:rFonts w:ascii="Arial" w:hAnsi="Arial" w:cs="Arial"/>
          <w:i/>
          <w:sz w:val="22"/>
          <w:szCs w:val="22"/>
          <w:lang w:val="en-ZA"/>
        </w:rPr>
        <w:t>Comment:</w:t>
      </w:r>
      <w:r w:rsidRPr="00403DF5">
        <w:rPr>
          <w:rFonts w:ascii="Arial" w:hAnsi="Arial" w:cs="Arial"/>
          <w:iCs/>
          <w:sz w:val="22"/>
          <w:szCs w:val="22"/>
          <w:lang w:val="en-ZA"/>
        </w:rPr>
        <w:t xml:space="preserve"> There is a lack of clarity regarding the entity obliged to file returns under clause 2. </w:t>
      </w:r>
    </w:p>
    <w:p w14:paraId="3D4EEE4E" w14:textId="77777777" w:rsidR="00D972AE" w:rsidRPr="00403DF5" w:rsidRDefault="00D972AE" w:rsidP="00D972AE">
      <w:pPr>
        <w:pStyle w:val="BodyText"/>
        <w:spacing w:before="240" w:after="240"/>
        <w:ind w:left="831" w:right="152"/>
        <w:jc w:val="both"/>
        <w:rPr>
          <w:rFonts w:ascii="Arial" w:hAnsi="Arial" w:cs="Arial"/>
          <w:iCs/>
          <w:sz w:val="22"/>
          <w:szCs w:val="22"/>
          <w:lang w:val="en-ZA"/>
        </w:rPr>
      </w:pPr>
      <w:r w:rsidRPr="00403DF5">
        <w:rPr>
          <w:rFonts w:ascii="Arial" w:hAnsi="Arial" w:cs="Arial"/>
          <w:i/>
          <w:sz w:val="22"/>
          <w:szCs w:val="22"/>
          <w:lang w:val="en-ZA"/>
        </w:rPr>
        <w:t xml:space="preserve">Response: </w:t>
      </w:r>
      <w:r w:rsidRPr="00403DF5">
        <w:rPr>
          <w:rFonts w:ascii="Arial" w:hAnsi="Arial" w:cs="Arial"/>
          <w:iCs/>
          <w:sz w:val="22"/>
          <w:szCs w:val="22"/>
          <w:u w:val="single"/>
          <w:lang w:val="en-ZA"/>
        </w:rPr>
        <w:t>Accepted</w:t>
      </w:r>
      <w:r w:rsidRPr="00403DF5">
        <w:rPr>
          <w:rFonts w:ascii="Arial" w:hAnsi="Arial" w:cs="Arial"/>
          <w:iCs/>
          <w:sz w:val="22"/>
          <w:szCs w:val="22"/>
          <w:lang w:val="en-ZA"/>
        </w:rPr>
        <w:t xml:space="preserve">. Changes have been effected to clause 2 to enhance its clarity. </w:t>
      </w:r>
    </w:p>
    <w:p w14:paraId="1818FDA1" w14:textId="77777777" w:rsidR="00D972AE" w:rsidRPr="00403DF5" w:rsidRDefault="00D972AE" w:rsidP="00403DF5">
      <w:pPr>
        <w:pStyle w:val="Heading3"/>
        <w:numPr>
          <w:ilvl w:val="1"/>
          <w:numId w:val="37"/>
        </w:numPr>
        <w:tabs>
          <w:tab w:val="left" w:pos="1134"/>
        </w:tabs>
        <w:spacing w:before="360" w:after="120"/>
        <w:ind w:left="993" w:right="153" w:hanging="567"/>
        <w:jc w:val="both"/>
        <w:rPr>
          <w:sz w:val="22"/>
          <w:szCs w:val="22"/>
          <w:lang w:val="en-ZA"/>
        </w:rPr>
      </w:pPr>
      <w:bookmarkStart w:id="139" w:name="_Toc180420387"/>
      <w:bookmarkStart w:id="140" w:name="_Toc189212139"/>
      <w:r w:rsidRPr="00403DF5">
        <w:rPr>
          <w:sz w:val="22"/>
          <w:szCs w:val="22"/>
          <w:lang w:val="en-ZA"/>
        </w:rPr>
        <w:t>Due date for filing a GloBE Information Return</w:t>
      </w:r>
      <w:bookmarkEnd w:id="139"/>
      <w:bookmarkEnd w:id="140"/>
      <w:r w:rsidRPr="00403DF5">
        <w:rPr>
          <w:sz w:val="22"/>
          <w:szCs w:val="22"/>
          <w:lang w:val="en-ZA"/>
        </w:rPr>
        <w:t xml:space="preserve"> </w:t>
      </w:r>
    </w:p>
    <w:p w14:paraId="11C6D46B" w14:textId="77777777" w:rsidR="00D972AE" w:rsidRPr="00403DF5" w:rsidRDefault="00D972AE" w:rsidP="00D972AE">
      <w:pPr>
        <w:pStyle w:val="BodyText"/>
        <w:spacing w:before="120" w:after="240"/>
        <w:ind w:left="493" w:right="153"/>
        <w:jc w:val="both"/>
        <w:rPr>
          <w:rFonts w:ascii="Arial" w:hAnsi="Arial" w:cs="Arial"/>
          <w:iCs/>
          <w:sz w:val="22"/>
          <w:szCs w:val="22"/>
          <w:lang w:val="en-ZA"/>
        </w:rPr>
      </w:pPr>
      <w:r w:rsidRPr="00403DF5">
        <w:rPr>
          <w:rFonts w:ascii="Arial" w:hAnsi="Arial" w:cs="Arial"/>
          <w:sz w:val="22"/>
          <w:szCs w:val="22"/>
          <w:lang w:val="en-ZA"/>
        </w:rPr>
        <w:t>(Main</w:t>
      </w:r>
      <w:r w:rsidRPr="00403DF5">
        <w:rPr>
          <w:rFonts w:ascii="Arial" w:hAnsi="Arial" w:cs="Arial"/>
          <w:spacing w:val="-10"/>
          <w:sz w:val="22"/>
          <w:szCs w:val="22"/>
          <w:lang w:val="en-ZA"/>
        </w:rPr>
        <w:t xml:space="preserve"> </w:t>
      </w:r>
      <w:r w:rsidRPr="00403DF5">
        <w:rPr>
          <w:rFonts w:ascii="Arial" w:hAnsi="Arial" w:cs="Arial"/>
          <w:sz w:val="22"/>
          <w:szCs w:val="22"/>
          <w:lang w:val="en-ZA"/>
        </w:rPr>
        <w:t>reference:</w:t>
      </w:r>
      <w:r w:rsidRPr="00403DF5">
        <w:rPr>
          <w:rFonts w:ascii="Arial" w:hAnsi="Arial" w:cs="Arial"/>
          <w:spacing w:val="-6"/>
          <w:sz w:val="22"/>
          <w:szCs w:val="22"/>
          <w:lang w:val="en-ZA"/>
        </w:rPr>
        <w:t xml:space="preserve"> </w:t>
      </w:r>
      <w:r w:rsidRPr="00403DF5">
        <w:rPr>
          <w:rFonts w:ascii="Arial" w:hAnsi="Arial" w:cs="Arial"/>
          <w:sz w:val="22"/>
          <w:szCs w:val="22"/>
          <w:lang w:val="en-ZA"/>
        </w:rPr>
        <w:t xml:space="preserve">Clause 3 </w:t>
      </w:r>
      <w:r w:rsidRPr="00403DF5">
        <w:rPr>
          <w:rFonts w:ascii="Arial" w:hAnsi="Arial" w:cs="Arial"/>
          <w:spacing w:val="-56"/>
          <w:sz w:val="22"/>
          <w:szCs w:val="22"/>
          <w:lang w:val="en-ZA"/>
        </w:rPr>
        <w:t xml:space="preserve">  </w:t>
      </w:r>
      <w:r w:rsidRPr="00403DF5">
        <w:rPr>
          <w:rFonts w:ascii="Arial" w:hAnsi="Arial" w:cs="Arial"/>
          <w:sz w:val="22"/>
          <w:szCs w:val="22"/>
          <w:lang w:val="en-ZA"/>
        </w:rPr>
        <w:t>of</w:t>
      </w:r>
      <w:r w:rsidRPr="00403DF5">
        <w:rPr>
          <w:rFonts w:ascii="Arial" w:hAnsi="Arial" w:cs="Arial"/>
          <w:spacing w:val="-2"/>
          <w:sz w:val="22"/>
          <w:szCs w:val="22"/>
          <w:lang w:val="en-ZA"/>
        </w:rPr>
        <w:t xml:space="preserve"> </w:t>
      </w:r>
      <w:r w:rsidRPr="00403DF5">
        <w:rPr>
          <w:rFonts w:ascii="Arial" w:hAnsi="Arial" w:cs="Arial"/>
          <w:sz w:val="22"/>
          <w:szCs w:val="22"/>
          <w:lang w:val="en-ZA"/>
        </w:rPr>
        <w:t>the</w:t>
      </w:r>
      <w:r w:rsidRPr="00403DF5">
        <w:rPr>
          <w:rFonts w:ascii="Arial" w:hAnsi="Arial" w:cs="Arial"/>
          <w:spacing w:val="-2"/>
          <w:sz w:val="22"/>
          <w:szCs w:val="22"/>
          <w:lang w:val="en-ZA"/>
        </w:rPr>
        <w:t xml:space="preserve"> </w:t>
      </w:r>
      <w:r w:rsidRPr="00403DF5">
        <w:rPr>
          <w:rFonts w:ascii="Arial" w:hAnsi="Arial" w:cs="Arial"/>
          <w:sz w:val="22"/>
          <w:szCs w:val="22"/>
          <w:lang w:val="en-ZA"/>
        </w:rPr>
        <w:t>Draft</w:t>
      </w:r>
      <w:r w:rsidRPr="00403DF5">
        <w:rPr>
          <w:rFonts w:ascii="Arial" w:hAnsi="Arial" w:cs="Arial"/>
          <w:spacing w:val="-1"/>
          <w:sz w:val="22"/>
          <w:szCs w:val="22"/>
          <w:lang w:val="en-ZA"/>
        </w:rPr>
        <w:t xml:space="preserve"> </w:t>
      </w:r>
      <w:r w:rsidRPr="00403DF5">
        <w:rPr>
          <w:rFonts w:ascii="Arial" w:hAnsi="Arial" w:cs="Arial"/>
          <w:sz w:val="22"/>
          <w:szCs w:val="22"/>
          <w:lang w:val="en-ZA"/>
        </w:rPr>
        <w:t>GMTA Bill)</w:t>
      </w:r>
      <w:r w:rsidRPr="00403DF5">
        <w:rPr>
          <w:rFonts w:ascii="Arial" w:hAnsi="Arial" w:cs="Arial"/>
          <w:iCs/>
          <w:sz w:val="22"/>
          <w:szCs w:val="22"/>
          <w:lang w:val="en-ZA"/>
        </w:rPr>
        <w:t xml:space="preserve"> </w:t>
      </w:r>
    </w:p>
    <w:p w14:paraId="13CFD8ED" w14:textId="77777777" w:rsidR="00D972AE" w:rsidRPr="00403DF5" w:rsidRDefault="00D972AE" w:rsidP="00D972AE">
      <w:pPr>
        <w:pStyle w:val="BodyText"/>
        <w:spacing w:before="360" w:after="240"/>
        <w:ind w:left="493" w:right="153"/>
        <w:jc w:val="both"/>
        <w:rPr>
          <w:rFonts w:ascii="Arial" w:hAnsi="Arial" w:cs="Arial"/>
          <w:iCs/>
          <w:sz w:val="22"/>
          <w:szCs w:val="22"/>
          <w:lang w:val="en-ZA"/>
        </w:rPr>
      </w:pPr>
      <w:r w:rsidRPr="00403DF5">
        <w:rPr>
          <w:rFonts w:ascii="Arial" w:hAnsi="Arial" w:cs="Arial"/>
          <w:i/>
          <w:sz w:val="22"/>
          <w:szCs w:val="22"/>
          <w:lang w:val="en-ZA"/>
        </w:rPr>
        <w:t>Comment:</w:t>
      </w:r>
      <w:r w:rsidRPr="00403DF5">
        <w:rPr>
          <w:rFonts w:ascii="Arial" w:hAnsi="Arial" w:cs="Arial"/>
          <w:iCs/>
          <w:sz w:val="22"/>
          <w:szCs w:val="22"/>
          <w:lang w:val="en-ZA"/>
        </w:rPr>
        <w:t xml:space="preserve"> The obligation to prepare and file a GIR is separate from the obligation to file an annual income tax return (ITR14) and controlled foreign company (CFC) return (IT10B), which assumingly will still exist. The GIR is due 15 months after the last day of the relevant fiscal year, extended to 18 months for the first fiscal year. Will SARS extend the due date for filing the ITR14 and IT10B returns to coincide with the GIR filing due date and if not, why not?</w:t>
      </w:r>
    </w:p>
    <w:p w14:paraId="27C1BD96" w14:textId="77777777" w:rsidR="00D972AE" w:rsidRPr="00403DF5" w:rsidRDefault="00D972AE" w:rsidP="00D972AE">
      <w:pPr>
        <w:pStyle w:val="BodyText"/>
        <w:spacing w:before="240" w:after="240"/>
        <w:ind w:left="831" w:right="152"/>
        <w:jc w:val="both"/>
        <w:rPr>
          <w:rFonts w:ascii="Arial" w:hAnsi="Arial" w:cs="Arial"/>
          <w:iCs/>
          <w:sz w:val="22"/>
          <w:szCs w:val="22"/>
          <w:lang w:val="en-ZA"/>
        </w:rPr>
      </w:pPr>
      <w:r w:rsidRPr="00403DF5">
        <w:rPr>
          <w:rFonts w:ascii="Arial" w:hAnsi="Arial" w:cs="Arial"/>
          <w:i/>
          <w:sz w:val="22"/>
          <w:szCs w:val="22"/>
          <w:lang w:val="en-ZA"/>
        </w:rPr>
        <w:t xml:space="preserve">Response: </w:t>
      </w:r>
      <w:r w:rsidRPr="00403DF5">
        <w:rPr>
          <w:rFonts w:ascii="Arial" w:hAnsi="Arial" w:cs="Arial"/>
          <w:iCs/>
          <w:sz w:val="22"/>
          <w:szCs w:val="22"/>
          <w:u w:val="single"/>
          <w:lang w:val="en-ZA"/>
        </w:rPr>
        <w:t>Comment misplaced</w:t>
      </w:r>
      <w:r w:rsidRPr="00403DF5">
        <w:rPr>
          <w:rFonts w:ascii="Arial" w:hAnsi="Arial" w:cs="Arial"/>
          <w:iCs/>
          <w:sz w:val="22"/>
          <w:szCs w:val="22"/>
          <w:lang w:val="en-ZA"/>
        </w:rPr>
        <w:t xml:space="preserve">. The due dates for the different returns required under different tax Acts or the TAA are not the same and are determined by the tax type and the operation of tax filing and payment obligation rules based on the design of SARS’ existing tax filing and payment procedures. The due for a GIR under the Draft GMTA Bill is also premised on the GloBE Model Rules, which adopting jurisdictions seek to apply uniformly to the extent possible to ensure a globally horizontal playing field. To the extent that foreign tax credits for CFCs are at issue, a proposed mechanism for adjusting the credits has been inserted in the explanatory memorandum for the Draft GMT Bill.  </w:t>
      </w:r>
    </w:p>
    <w:p w14:paraId="4E92F3E4" w14:textId="77777777" w:rsidR="00D972AE" w:rsidRPr="00403DF5" w:rsidRDefault="00D972AE" w:rsidP="00403DF5">
      <w:pPr>
        <w:pStyle w:val="Heading3"/>
        <w:numPr>
          <w:ilvl w:val="1"/>
          <w:numId w:val="37"/>
        </w:numPr>
        <w:tabs>
          <w:tab w:val="left" w:pos="1134"/>
        </w:tabs>
        <w:spacing w:before="360" w:after="120"/>
        <w:ind w:left="993" w:right="153" w:hanging="567"/>
        <w:jc w:val="both"/>
        <w:rPr>
          <w:sz w:val="22"/>
          <w:szCs w:val="22"/>
          <w:lang w:val="en-ZA"/>
        </w:rPr>
      </w:pPr>
      <w:bookmarkStart w:id="141" w:name="_Toc180420388"/>
      <w:bookmarkStart w:id="142" w:name="_Toc189212140"/>
      <w:r w:rsidRPr="00403DF5">
        <w:rPr>
          <w:sz w:val="22"/>
          <w:szCs w:val="22"/>
          <w:lang w:val="en-ZA"/>
        </w:rPr>
        <w:t>Exception for returns provided under automatic exchange of information agreement</w:t>
      </w:r>
      <w:bookmarkEnd w:id="141"/>
      <w:bookmarkEnd w:id="142"/>
      <w:r w:rsidRPr="00403DF5">
        <w:rPr>
          <w:sz w:val="22"/>
          <w:szCs w:val="22"/>
          <w:lang w:val="en-ZA"/>
        </w:rPr>
        <w:t xml:space="preserve"> </w:t>
      </w:r>
    </w:p>
    <w:p w14:paraId="76A347D8" w14:textId="77777777" w:rsidR="00D972AE" w:rsidRPr="00403DF5" w:rsidRDefault="00D972AE" w:rsidP="00D972AE">
      <w:pPr>
        <w:pStyle w:val="BodyText"/>
        <w:spacing w:before="120" w:after="240"/>
        <w:ind w:left="493" w:right="153"/>
        <w:jc w:val="both"/>
        <w:rPr>
          <w:rFonts w:ascii="Arial" w:hAnsi="Arial" w:cs="Arial"/>
          <w:iCs/>
          <w:sz w:val="22"/>
          <w:szCs w:val="22"/>
          <w:lang w:val="en-ZA"/>
        </w:rPr>
      </w:pPr>
      <w:r w:rsidRPr="00403DF5">
        <w:rPr>
          <w:rFonts w:ascii="Arial" w:hAnsi="Arial" w:cs="Arial"/>
          <w:sz w:val="22"/>
          <w:szCs w:val="22"/>
          <w:lang w:val="en-ZA"/>
        </w:rPr>
        <w:t>(Main</w:t>
      </w:r>
      <w:r w:rsidRPr="00403DF5">
        <w:rPr>
          <w:rFonts w:ascii="Arial" w:hAnsi="Arial" w:cs="Arial"/>
          <w:spacing w:val="-10"/>
          <w:sz w:val="22"/>
          <w:szCs w:val="22"/>
          <w:lang w:val="en-ZA"/>
        </w:rPr>
        <w:t xml:space="preserve"> </w:t>
      </w:r>
      <w:r w:rsidRPr="00403DF5">
        <w:rPr>
          <w:rFonts w:ascii="Arial" w:hAnsi="Arial" w:cs="Arial"/>
          <w:sz w:val="22"/>
          <w:szCs w:val="22"/>
          <w:lang w:val="en-ZA"/>
        </w:rPr>
        <w:t>reference:</w:t>
      </w:r>
      <w:r w:rsidRPr="00403DF5">
        <w:rPr>
          <w:rFonts w:ascii="Arial" w:hAnsi="Arial" w:cs="Arial"/>
          <w:spacing w:val="-6"/>
          <w:sz w:val="22"/>
          <w:szCs w:val="22"/>
          <w:lang w:val="en-ZA"/>
        </w:rPr>
        <w:t xml:space="preserve"> </w:t>
      </w:r>
      <w:r w:rsidRPr="00403DF5">
        <w:rPr>
          <w:rFonts w:ascii="Arial" w:hAnsi="Arial" w:cs="Arial"/>
          <w:sz w:val="22"/>
          <w:szCs w:val="22"/>
          <w:lang w:val="en-ZA"/>
        </w:rPr>
        <w:t xml:space="preserve">Clause 4 </w:t>
      </w:r>
      <w:r w:rsidRPr="00403DF5">
        <w:rPr>
          <w:rFonts w:ascii="Arial" w:hAnsi="Arial" w:cs="Arial"/>
          <w:spacing w:val="-56"/>
          <w:sz w:val="22"/>
          <w:szCs w:val="22"/>
          <w:lang w:val="en-ZA"/>
        </w:rPr>
        <w:t xml:space="preserve">  </w:t>
      </w:r>
      <w:r w:rsidRPr="00403DF5">
        <w:rPr>
          <w:rFonts w:ascii="Arial" w:hAnsi="Arial" w:cs="Arial"/>
          <w:sz w:val="22"/>
          <w:szCs w:val="22"/>
          <w:lang w:val="en-ZA"/>
        </w:rPr>
        <w:t>of</w:t>
      </w:r>
      <w:r w:rsidRPr="00403DF5">
        <w:rPr>
          <w:rFonts w:ascii="Arial" w:hAnsi="Arial" w:cs="Arial"/>
          <w:spacing w:val="-2"/>
          <w:sz w:val="22"/>
          <w:szCs w:val="22"/>
          <w:lang w:val="en-ZA"/>
        </w:rPr>
        <w:t xml:space="preserve"> </w:t>
      </w:r>
      <w:r w:rsidRPr="00403DF5">
        <w:rPr>
          <w:rFonts w:ascii="Arial" w:hAnsi="Arial" w:cs="Arial"/>
          <w:sz w:val="22"/>
          <w:szCs w:val="22"/>
          <w:lang w:val="en-ZA"/>
        </w:rPr>
        <w:t>the</w:t>
      </w:r>
      <w:r w:rsidRPr="00403DF5">
        <w:rPr>
          <w:rFonts w:ascii="Arial" w:hAnsi="Arial" w:cs="Arial"/>
          <w:spacing w:val="-2"/>
          <w:sz w:val="22"/>
          <w:szCs w:val="22"/>
          <w:lang w:val="en-ZA"/>
        </w:rPr>
        <w:t xml:space="preserve"> </w:t>
      </w:r>
      <w:r w:rsidRPr="00403DF5">
        <w:rPr>
          <w:rFonts w:ascii="Arial" w:hAnsi="Arial" w:cs="Arial"/>
          <w:sz w:val="22"/>
          <w:szCs w:val="22"/>
          <w:lang w:val="en-ZA"/>
        </w:rPr>
        <w:t>Draft</w:t>
      </w:r>
      <w:r w:rsidRPr="00403DF5">
        <w:rPr>
          <w:rFonts w:ascii="Arial" w:hAnsi="Arial" w:cs="Arial"/>
          <w:spacing w:val="-1"/>
          <w:sz w:val="22"/>
          <w:szCs w:val="22"/>
          <w:lang w:val="en-ZA"/>
        </w:rPr>
        <w:t xml:space="preserve"> </w:t>
      </w:r>
      <w:r w:rsidRPr="00403DF5">
        <w:rPr>
          <w:rFonts w:ascii="Arial" w:hAnsi="Arial" w:cs="Arial"/>
          <w:sz w:val="22"/>
          <w:szCs w:val="22"/>
          <w:lang w:val="en-ZA"/>
        </w:rPr>
        <w:t>GMTA Bill)</w:t>
      </w:r>
      <w:r w:rsidRPr="00403DF5">
        <w:rPr>
          <w:rFonts w:ascii="Arial" w:hAnsi="Arial" w:cs="Arial"/>
          <w:iCs/>
          <w:sz w:val="22"/>
          <w:szCs w:val="22"/>
          <w:lang w:val="en-ZA"/>
        </w:rPr>
        <w:t xml:space="preserve"> </w:t>
      </w:r>
    </w:p>
    <w:p w14:paraId="71081763" w14:textId="77777777" w:rsidR="00D972AE" w:rsidRPr="00403DF5" w:rsidRDefault="00D972AE" w:rsidP="00D972AE">
      <w:pPr>
        <w:pStyle w:val="BodyText"/>
        <w:spacing w:before="360" w:after="240"/>
        <w:ind w:left="493" w:right="153"/>
        <w:jc w:val="both"/>
        <w:rPr>
          <w:rFonts w:ascii="Arial" w:hAnsi="Arial" w:cs="Arial"/>
          <w:iCs/>
          <w:sz w:val="22"/>
          <w:szCs w:val="22"/>
          <w:lang w:val="en-ZA"/>
        </w:rPr>
      </w:pPr>
      <w:r w:rsidRPr="00403DF5">
        <w:rPr>
          <w:rFonts w:ascii="Arial" w:hAnsi="Arial" w:cs="Arial"/>
          <w:i/>
          <w:sz w:val="22"/>
          <w:szCs w:val="22"/>
          <w:lang w:val="en-ZA"/>
        </w:rPr>
        <w:t>Comment:</w:t>
      </w:r>
      <w:r w:rsidRPr="00403DF5">
        <w:rPr>
          <w:rFonts w:ascii="Arial" w:hAnsi="Arial" w:cs="Arial"/>
          <w:iCs/>
          <w:sz w:val="22"/>
          <w:szCs w:val="22"/>
          <w:lang w:val="en-ZA"/>
        </w:rPr>
        <w:t xml:space="preserve"> Under this clause a Domestic Constituent Entity need not file a GIR with SARS if the GIR has been filed by the Ultimate Parent Entity (UPE) or by a Designated Filing Entity appointed by the MNE Group, in a jurisdiction that has a Qualifying Competent Authority Agreement with South Africa. A Domestic Constituent Entity must notify SARS no later than six months prior to the GIR filing due date of the identity of the UPE or DFE that will file the GIR and its jurisdiction. However, the manner in which the Commissioner will be notified is not clarified (i.e. whether the notification will be in the form of a letter or eFiling, etc.).  </w:t>
      </w:r>
    </w:p>
    <w:p w14:paraId="5E761CC9" w14:textId="77777777" w:rsidR="00D972AE" w:rsidRPr="00403DF5" w:rsidRDefault="00D972AE" w:rsidP="00D972AE">
      <w:pPr>
        <w:pStyle w:val="BodyText"/>
        <w:spacing w:before="240" w:after="240"/>
        <w:ind w:left="831" w:right="152"/>
        <w:jc w:val="both"/>
        <w:rPr>
          <w:rFonts w:ascii="Arial" w:hAnsi="Arial" w:cs="Arial"/>
          <w:iCs/>
          <w:sz w:val="22"/>
          <w:szCs w:val="22"/>
          <w:lang w:val="en-ZA"/>
        </w:rPr>
      </w:pPr>
      <w:r w:rsidRPr="00403DF5">
        <w:rPr>
          <w:rFonts w:ascii="Arial" w:hAnsi="Arial" w:cs="Arial"/>
          <w:i/>
          <w:sz w:val="22"/>
          <w:szCs w:val="22"/>
          <w:lang w:val="en-ZA"/>
        </w:rPr>
        <w:t xml:space="preserve">Response: </w:t>
      </w:r>
      <w:r w:rsidRPr="00403DF5">
        <w:rPr>
          <w:rFonts w:ascii="Arial" w:hAnsi="Arial" w:cs="Arial"/>
          <w:iCs/>
          <w:sz w:val="22"/>
          <w:szCs w:val="22"/>
          <w:u w:val="single"/>
          <w:lang w:val="en-ZA"/>
        </w:rPr>
        <w:t>Noted</w:t>
      </w:r>
      <w:r w:rsidRPr="00403DF5">
        <w:rPr>
          <w:rFonts w:ascii="Arial" w:hAnsi="Arial" w:cs="Arial"/>
          <w:iCs/>
          <w:sz w:val="22"/>
          <w:szCs w:val="22"/>
          <w:lang w:val="en-ZA"/>
        </w:rPr>
        <w:t>. See response to first comment in respect of clause 2 above. The TAA will regulate any administrative requirement and procedure not regulated by the Draft GMT Bill or the Draft GMTA Bill but are required for their administration (clause 11(2)). As to whether the notice required under clause 2(3)</w:t>
      </w:r>
      <w:r w:rsidRPr="00403DF5">
        <w:rPr>
          <w:rFonts w:ascii="Arial" w:hAnsi="Arial" w:cs="Arial"/>
          <w:i/>
          <w:sz w:val="22"/>
          <w:szCs w:val="22"/>
          <w:lang w:val="en-ZA"/>
        </w:rPr>
        <w:t>(b)</w:t>
      </w:r>
      <w:r w:rsidRPr="00403DF5">
        <w:rPr>
          <w:rFonts w:ascii="Arial" w:hAnsi="Arial" w:cs="Arial"/>
          <w:iCs/>
          <w:sz w:val="22"/>
          <w:szCs w:val="22"/>
          <w:lang w:val="en-ZA"/>
        </w:rPr>
        <w:t xml:space="preserve"> will be a process using email or the eFiling platform, this will form part of the operational implementation of this Bill which generally caters for stakeholder input as well as a published standard operating procedure.</w:t>
      </w:r>
    </w:p>
    <w:p w14:paraId="743B338B" w14:textId="77777777" w:rsidR="00D972AE" w:rsidRPr="00403DF5" w:rsidRDefault="00D972AE" w:rsidP="00D972AE">
      <w:pPr>
        <w:pStyle w:val="BodyText"/>
        <w:spacing w:before="360" w:after="240"/>
        <w:ind w:left="493" w:right="153"/>
        <w:jc w:val="both"/>
        <w:rPr>
          <w:rFonts w:ascii="Arial" w:hAnsi="Arial" w:cs="Arial"/>
          <w:iCs/>
          <w:sz w:val="22"/>
          <w:szCs w:val="22"/>
          <w:lang w:val="en-ZA"/>
        </w:rPr>
      </w:pPr>
      <w:r w:rsidRPr="00403DF5">
        <w:rPr>
          <w:rFonts w:ascii="Arial" w:hAnsi="Arial" w:cs="Arial"/>
          <w:i/>
          <w:sz w:val="22"/>
          <w:szCs w:val="22"/>
          <w:lang w:val="en-ZA"/>
        </w:rPr>
        <w:t xml:space="preserve">Comment: </w:t>
      </w:r>
      <w:r w:rsidRPr="00403DF5">
        <w:rPr>
          <w:rFonts w:ascii="Arial" w:hAnsi="Arial" w:cs="Arial"/>
          <w:iCs/>
          <w:sz w:val="22"/>
          <w:szCs w:val="22"/>
          <w:lang w:val="en-ZA"/>
        </w:rPr>
        <w:t xml:space="preserve">There is a lack of clarity in respect of local filing and information requirements. </w:t>
      </w:r>
    </w:p>
    <w:p w14:paraId="1E354440" w14:textId="77777777" w:rsidR="00D972AE" w:rsidRPr="00403DF5" w:rsidRDefault="00D972AE" w:rsidP="00D972AE">
      <w:pPr>
        <w:pStyle w:val="BodyText"/>
        <w:spacing w:before="240" w:after="240"/>
        <w:ind w:left="831" w:right="152"/>
        <w:jc w:val="both"/>
        <w:rPr>
          <w:rFonts w:ascii="Arial" w:hAnsi="Arial" w:cs="Arial"/>
          <w:iCs/>
          <w:sz w:val="22"/>
          <w:szCs w:val="22"/>
          <w:lang w:val="en-ZA"/>
        </w:rPr>
      </w:pPr>
      <w:r w:rsidRPr="00403DF5">
        <w:rPr>
          <w:rFonts w:ascii="Arial" w:hAnsi="Arial" w:cs="Arial"/>
          <w:i/>
          <w:sz w:val="22"/>
          <w:szCs w:val="22"/>
          <w:lang w:val="en-ZA"/>
        </w:rPr>
        <w:t xml:space="preserve">Response: </w:t>
      </w:r>
      <w:r w:rsidRPr="00403DF5">
        <w:rPr>
          <w:rFonts w:ascii="Arial" w:hAnsi="Arial" w:cs="Arial"/>
          <w:iCs/>
          <w:sz w:val="22"/>
          <w:szCs w:val="22"/>
          <w:u w:val="single"/>
          <w:lang w:val="en-ZA"/>
        </w:rPr>
        <w:t>Accepted</w:t>
      </w:r>
      <w:r w:rsidRPr="00403DF5">
        <w:rPr>
          <w:rFonts w:ascii="Arial" w:hAnsi="Arial" w:cs="Arial"/>
          <w:iCs/>
          <w:sz w:val="22"/>
          <w:szCs w:val="22"/>
          <w:lang w:val="en-ZA"/>
        </w:rPr>
        <w:t xml:space="preserve">. Changes have been effected to the definition of a GloBE Information Return as well as clauses 2 and 4 to enhance clarity. </w:t>
      </w:r>
    </w:p>
    <w:p w14:paraId="7C87FC53" w14:textId="77777777" w:rsidR="00D972AE" w:rsidRPr="004C639D" w:rsidRDefault="00D972AE" w:rsidP="00D972AE">
      <w:pPr>
        <w:pStyle w:val="BodyText"/>
        <w:spacing w:before="240" w:after="240"/>
        <w:ind w:left="831" w:right="152"/>
        <w:jc w:val="both"/>
        <w:rPr>
          <w:rFonts w:ascii="Arial" w:hAnsi="Arial" w:cs="Arial"/>
          <w:iCs/>
          <w:lang w:val="en-ZA"/>
        </w:rPr>
      </w:pPr>
      <w:r w:rsidRPr="00403DF5">
        <w:rPr>
          <w:rFonts w:ascii="Arial" w:hAnsi="Arial" w:cs="Arial"/>
          <w:iCs/>
          <w:sz w:val="22"/>
          <w:szCs w:val="22"/>
          <w:lang w:val="en-ZA"/>
        </w:rPr>
        <w:t>As for the information required in a return for purposes of clause 4, the revised definition provides that a GIR in an international context, means a return conforming to the requirements of Articles 8.1.4 to 8.1.6 of the GloBE Model Rules, which are incorporated by reference in both the Draft GMT Bill and this Bill. These Articles, read with the GloBE Commentary and Administrative Guidance to the GloBE Model Rules, as defined in the Draft GMT Bill, as well as any explanatory notes in the GIR by SARS, will provide sufficient clarity on what information is required</w:t>
      </w:r>
      <w:r w:rsidRPr="004C639D">
        <w:rPr>
          <w:rFonts w:ascii="Arial" w:hAnsi="Arial" w:cs="Arial"/>
          <w:iCs/>
          <w:lang w:val="en-ZA"/>
        </w:rPr>
        <w:t xml:space="preserve">. </w:t>
      </w:r>
    </w:p>
    <w:p w14:paraId="07E7FB62" w14:textId="77777777" w:rsidR="00D972AE" w:rsidRPr="00403DF5" w:rsidRDefault="00D972AE" w:rsidP="00D972AE">
      <w:pPr>
        <w:pStyle w:val="BodyText"/>
        <w:spacing w:before="360" w:after="240"/>
        <w:ind w:left="493" w:right="153"/>
        <w:jc w:val="both"/>
        <w:rPr>
          <w:rFonts w:ascii="Arial" w:hAnsi="Arial" w:cs="Arial"/>
          <w:iCs/>
          <w:sz w:val="22"/>
          <w:szCs w:val="22"/>
          <w:lang w:val="en-ZA"/>
        </w:rPr>
      </w:pPr>
      <w:r w:rsidRPr="00403DF5">
        <w:rPr>
          <w:rFonts w:ascii="Arial" w:hAnsi="Arial" w:cs="Arial"/>
          <w:i/>
          <w:sz w:val="22"/>
          <w:szCs w:val="22"/>
          <w:lang w:val="en-ZA"/>
        </w:rPr>
        <w:t>Comment:</w:t>
      </w:r>
      <w:r w:rsidRPr="00403DF5">
        <w:rPr>
          <w:rFonts w:ascii="Arial" w:hAnsi="Arial" w:cs="Arial"/>
          <w:iCs/>
          <w:sz w:val="22"/>
          <w:szCs w:val="22"/>
          <w:lang w:val="en-ZA"/>
        </w:rPr>
        <w:t xml:space="preserve"> Consideration needs to be given towards whether one return must be filed under clause 4 for both the Income Inclusion Rule (IIR) and the Domestic Minimum Top-up Tax (DMTT) or whether separate returns would need to be filed for both.</w:t>
      </w:r>
    </w:p>
    <w:p w14:paraId="69A3A28F" w14:textId="77777777" w:rsidR="00D972AE" w:rsidRPr="00403DF5" w:rsidRDefault="00D972AE" w:rsidP="00D972AE">
      <w:pPr>
        <w:pStyle w:val="BodyText"/>
        <w:spacing w:before="240" w:after="240"/>
        <w:ind w:left="831" w:right="152"/>
        <w:jc w:val="both"/>
        <w:rPr>
          <w:rFonts w:ascii="Arial" w:hAnsi="Arial" w:cs="Arial"/>
          <w:i/>
          <w:sz w:val="22"/>
          <w:szCs w:val="22"/>
          <w:lang w:val="en-ZA"/>
        </w:rPr>
      </w:pPr>
      <w:r w:rsidRPr="00403DF5">
        <w:rPr>
          <w:rFonts w:ascii="Arial" w:hAnsi="Arial" w:cs="Arial"/>
          <w:i/>
          <w:sz w:val="22"/>
          <w:szCs w:val="22"/>
          <w:lang w:val="en-ZA"/>
        </w:rPr>
        <w:t xml:space="preserve">Response: </w:t>
      </w:r>
      <w:r w:rsidRPr="00403DF5">
        <w:rPr>
          <w:rFonts w:ascii="Arial" w:hAnsi="Arial" w:cs="Arial"/>
          <w:iCs/>
          <w:sz w:val="22"/>
          <w:szCs w:val="22"/>
          <w:u w:val="single"/>
          <w:lang w:val="en-ZA"/>
        </w:rPr>
        <w:t>Noted</w:t>
      </w:r>
      <w:r w:rsidRPr="00403DF5">
        <w:rPr>
          <w:rFonts w:ascii="Arial" w:hAnsi="Arial" w:cs="Arial"/>
          <w:iCs/>
          <w:sz w:val="22"/>
          <w:szCs w:val="22"/>
          <w:lang w:val="en-ZA"/>
        </w:rPr>
        <w:t>. It is anticipated that there will be two separate GIR filing obligations for the IIR and DMTT in the short to medium term due to certain transitional rules. In the longer term, consideration will be given to whether the system processes can be designed to satisfy both obligations through a single GIR submission.</w:t>
      </w:r>
    </w:p>
    <w:p w14:paraId="45A03E7C" w14:textId="77777777" w:rsidR="00D972AE" w:rsidRPr="00403DF5" w:rsidRDefault="00D972AE" w:rsidP="00403DF5">
      <w:pPr>
        <w:pStyle w:val="Heading3"/>
        <w:numPr>
          <w:ilvl w:val="1"/>
          <w:numId w:val="37"/>
        </w:numPr>
        <w:tabs>
          <w:tab w:val="left" w:pos="1134"/>
        </w:tabs>
        <w:spacing w:before="360" w:after="120"/>
        <w:ind w:left="993" w:right="153" w:hanging="567"/>
        <w:jc w:val="both"/>
        <w:rPr>
          <w:sz w:val="22"/>
          <w:szCs w:val="22"/>
          <w:lang w:val="en-ZA"/>
        </w:rPr>
      </w:pPr>
      <w:bookmarkStart w:id="143" w:name="_Toc180420389"/>
      <w:bookmarkStart w:id="144" w:name="_Toc189212141"/>
      <w:r w:rsidRPr="00403DF5">
        <w:rPr>
          <w:sz w:val="22"/>
          <w:szCs w:val="22"/>
          <w:lang w:val="en-ZA"/>
        </w:rPr>
        <w:t>Due date for payment</w:t>
      </w:r>
      <w:bookmarkEnd w:id="143"/>
      <w:bookmarkEnd w:id="144"/>
      <w:r w:rsidRPr="00403DF5">
        <w:rPr>
          <w:sz w:val="22"/>
          <w:szCs w:val="22"/>
          <w:lang w:val="en-ZA"/>
        </w:rPr>
        <w:t xml:space="preserve"> </w:t>
      </w:r>
    </w:p>
    <w:p w14:paraId="2F8A0286" w14:textId="77777777" w:rsidR="00D972AE" w:rsidRPr="00403DF5" w:rsidRDefault="00D972AE" w:rsidP="00D972AE">
      <w:pPr>
        <w:pStyle w:val="BodyText"/>
        <w:spacing w:before="120" w:after="240"/>
        <w:ind w:left="493" w:right="153"/>
        <w:jc w:val="both"/>
        <w:rPr>
          <w:rFonts w:ascii="Arial" w:hAnsi="Arial" w:cs="Arial"/>
          <w:iCs/>
          <w:sz w:val="22"/>
          <w:szCs w:val="22"/>
          <w:lang w:val="en-ZA"/>
        </w:rPr>
      </w:pPr>
      <w:r w:rsidRPr="00403DF5">
        <w:rPr>
          <w:rFonts w:ascii="Arial" w:hAnsi="Arial" w:cs="Arial"/>
          <w:sz w:val="22"/>
          <w:szCs w:val="22"/>
          <w:lang w:val="en-ZA"/>
        </w:rPr>
        <w:t>(Main</w:t>
      </w:r>
      <w:r w:rsidRPr="00403DF5">
        <w:rPr>
          <w:rFonts w:ascii="Arial" w:hAnsi="Arial" w:cs="Arial"/>
          <w:spacing w:val="-10"/>
          <w:sz w:val="22"/>
          <w:szCs w:val="22"/>
          <w:lang w:val="en-ZA"/>
        </w:rPr>
        <w:t xml:space="preserve"> </w:t>
      </w:r>
      <w:r w:rsidRPr="00403DF5">
        <w:rPr>
          <w:rFonts w:ascii="Arial" w:hAnsi="Arial" w:cs="Arial"/>
          <w:sz w:val="22"/>
          <w:szCs w:val="22"/>
          <w:lang w:val="en-ZA"/>
        </w:rPr>
        <w:t>reference:</w:t>
      </w:r>
      <w:r w:rsidRPr="00403DF5">
        <w:rPr>
          <w:rFonts w:ascii="Arial" w:hAnsi="Arial" w:cs="Arial"/>
          <w:spacing w:val="-6"/>
          <w:sz w:val="22"/>
          <w:szCs w:val="22"/>
          <w:lang w:val="en-ZA"/>
        </w:rPr>
        <w:t xml:space="preserve"> </w:t>
      </w:r>
      <w:r w:rsidRPr="00403DF5">
        <w:rPr>
          <w:rFonts w:ascii="Arial" w:hAnsi="Arial" w:cs="Arial"/>
          <w:sz w:val="22"/>
          <w:szCs w:val="22"/>
          <w:lang w:val="en-ZA"/>
        </w:rPr>
        <w:t xml:space="preserve">Clause 5 </w:t>
      </w:r>
      <w:r w:rsidRPr="00403DF5">
        <w:rPr>
          <w:rFonts w:ascii="Arial" w:hAnsi="Arial" w:cs="Arial"/>
          <w:spacing w:val="-56"/>
          <w:sz w:val="22"/>
          <w:szCs w:val="22"/>
          <w:lang w:val="en-ZA"/>
        </w:rPr>
        <w:t xml:space="preserve">  </w:t>
      </w:r>
      <w:r w:rsidRPr="00403DF5">
        <w:rPr>
          <w:rFonts w:ascii="Arial" w:hAnsi="Arial" w:cs="Arial"/>
          <w:sz w:val="22"/>
          <w:szCs w:val="22"/>
          <w:lang w:val="en-ZA"/>
        </w:rPr>
        <w:t>of</w:t>
      </w:r>
      <w:r w:rsidRPr="00403DF5">
        <w:rPr>
          <w:rFonts w:ascii="Arial" w:hAnsi="Arial" w:cs="Arial"/>
          <w:spacing w:val="-2"/>
          <w:sz w:val="22"/>
          <w:szCs w:val="22"/>
          <w:lang w:val="en-ZA"/>
        </w:rPr>
        <w:t xml:space="preserve"> </w:t>
      </w:r>
      <w:r w:rsidRPr="00403DF5">
        <w:rPr>
          <w:rFonts w:ascii="Arial" w:hAnsi="Arial" w:cs="Arial"/>
          <w:sz w:val="22"/>
          <w:szCs w:val="22"/>
          <w:lang w:val="en-ZA"/>
        </w:rPr>
        <w:t>the</w:t>
      </w:r>
      <w:r w:rsidRPr="00403DF5">
        <w:rPr>
          <w:rFonts w:ascii="Arial" w:hAnsi="Arial" w:cs="Arial"/>
          <w:spacing w:val="-2"/>
          <w:sz w:val="22"/>
          <w:szCs w:val="22"/>
          <w:lang w:val="en-ZA"/>
        </w:rPr>
        <w:t xml:space="preserve"> </w:t>
      </w:r>
      <w:r w:rsidRPr="00403DF5">
        <w:rPr>
          <w:rFonts w:ascii="Arial" w:hAnsi="Arial" w:cs="Arial"/>
          <w:sz w:val="22"/>
          <w:szCs w:val="22"/>
          <w:lang w:val="en-ZA"/>
        </w:rPr>
        <w:t>Draft</w:t>
      </w:r>
      <w:r w:rsidRPr="00403DF5">
        <w:rPr>
          <w:rFonts w:ascii="Arial" w:hAnsi="Arial" w:cs="Arial"/>
          <w:spacing w:val="-1"/>
          <w:sz w:val="22"/>
          <w:szCs w:val="22"/>
          <w:lang w:val="en-ZA"/>
        </w:rPr>
        <w:t xml:space="preserve"> </w:t>
      </w:r>
      <w:r w:rsidRPr="00403DF5">
        <w:rPr>
          <w:rFonts w:ascii="Arial" w:hAnsi="Arial" w:cs="Arial"/>
          <w:sz w:val="22"/>
          <w:szCs w:val="22"/>
          <w:lang w:val="en-ZA"/>
        </w:rPr>
        <w:t>GMTA Bill)</w:t>
      </w:r>
      <w:r w:rsidRPr="00403DF5">
        <w:rPr>
          <w:rFonts w:ascii="Arial" w:hAnsi="Arial" w:cs="Arial"/>
          <w:iCs/>
          <w:sz w:val="22"/>
          <w:szCs w:val="22"/>
          <w:lang w:val="en-ZA"/>
        </w:rPr>
        <w:t xml:space="preserve"> </w:t>
      </w:r>
    </w:p>
    <w:p w14:paraId="5C8FA299" w14:textId="77777777" w:rsidR="00D972AE" w:rsidRPr="00403DF5" w:rsidRDefault="00D972AE" w:rsidP="00D972AE">
      <w:pPr>
        <w:pStyle w:val="BodyText"/>
        <w:spacing w:before="360" w:after="240"/>
        <w:ind w:left="493" w:right="153"/>
        <w:jc w:val="both"/>
        <w:rPr>
          <w:rFonts w:ascii="Arial" w:hAnsi="Arial" w:cs="Arial"/>
          <w:iCs/>
          <w:sz w:val="22"/>
          <w:szCs w:val="22"/>
          <w:lang w:val="en-ZA"/>
        </w:rPr>
      </w:pPr>
      <w:r w:rsidRPr="00403DF5">
        <w:rPr>
          <w:rFonts w:ascii="Arial" w:hAnsi="Arial" w:cs="Arial"/>
          <w:i/>
          <w:sz w:val="22"/>
          <w:szCs w:val="22"/>
          <w:lang w:val="en-ZA"/>
        </w:rPr>
        <w:t>Comment:</w:t>
      </w:r>
      <w:r w:rsidRPr="00403DF5">
        <w:rPr>
          <w:rFonts w:ascii="Arial" w:hAnsi="Arial" w:cs="Arial"/>
          <w:iCs/>
          <w:sz w:val="22"/>
          <w:szCs w:val="22"/>
          <w:lang w:val="en-ZA"/>
        </w:rPr>
        <w:t xml:space="preserve"> Given its lack of clarity in relation to the estimation of Top-up Tax due under the Draft GMT Act, it is recommended that clause 5 be reviewed. </w:t>
      </w:r>
    </w:p>
    <w:p w14:paraId="0D5DB235" w14:textId="77777777" w:rsidR="00D972AE" w:rsidRDefault="00D972AE" w:rsidP="00D972AE">
      <w:pPr>
        <w:pStyle w:val="BodyText"/>
        <w:spacing w:before="240" w:after="240"/>
        <w:ind w:left="831" w:right="152"/>
        <w:jc w:val="both"/>
        <w:rPr>
          <w:rFonts w:ascii="Arial" w:hAnsi="Arial" w:cs="Arial"/>
          <w:iCs/>
          <w:sz w:val="22"/>
          <w:szCs w:val="22"/>
          <w:lang w:val="en-ZA"/>
        </w:rPr>
      </w:pPr>
      <w:r w:rsidRPr="00403DF5">
        <w:rPr>
          <w:rFonts w:ascii="Arial" w:hAnsi="Arial" w:cs="Arial"/>
          <w:i/>
          <w:sz w:val="22"/>
          <w:szCs w:val="22"/>
          <w:lang w:val="en-ZA"/>
        </w:rPr>
        <w:t xml:space="preserve">Response: </w:t>
      </w:r>
      <w:r w:rsidRPr="00403DF5">
        <w:rPr>
          <w:rFonts w:ascii="Arial" w:hAnsi="Arial" w:cs="Arial"/>
          <w:iCs/>
          <w:sz w:val="22"/>
          <w:szCs w:val="22"/>
          <w:u w:val="single"/>
          <w:lang w:val="en-ZA"/>
        </w:rPr>
        <w:t>Accepted</w:t>
      </w:r>
      <w:r w:rsidRPr="00403DF5">
        <w:rPr>
          <w:rFonts w:ascii="Arial" w:hAnsi="Arial" w:cs="Arial"/>
          <w:iCs/>
          <w:sz w:val="22"/>
          <w:szCs w:val="22"/>
          <w:lang w:val="en-ZA"/>
        </w:rPr>
        <w:t xml:space="preserve">. Clause 5(1) has been changed to provide that Top-up Tax must be paid by the date under clause 3 and clause 5(2) now provides that the Designated Local Entity or Designated Filing Entity may pay the Top-up Tax on behalf of all Domestic Constituent Entities. In turn, clause 5(3) no longer provides for </w:t>
      </w:r>
      <w:r w:rsidRPr="00403DF5">
        <w:rPr>
          <w:rFonts w:ascii="Arial" w:hAnsi="Arial" w:cs="Arial"/>
          <w:i/>
          <w:sz w:val="22"/>
          <w:szCs w:val="22"/>
          <w:lang w:val="en-ZA"/>
        </w:rPr>
        <w:t>an estimation</w:t>
      </w:r>
      <w:r w:rsidRPr="00403DF5">
        <w:rPr>
          <w:rFonts w:ascii="Arial" w:hAnsi="Arial" w:cs="Arial"/>
          <w:iCs/>
          <w:sz w:val="22"/>
          <w:szCs w:val="22"/>
          <w:lang w:val="en-ZA"/>
        </w:rPr>
        <w:t xml:space="preserve">, but for the Commissioner to assess one or more Domestic Constituent Entity, Domestic Joint Venture or Domestic Joint Venture Subsidiary that does not fully comply with clause 5(1) or 5(2), for the </w:t>
      </w:r>
      <w:r w:rsidRPr="00403DF5">
        <w:rPr>
          <w:rFonts w:ascii="Arial" w:hAnsi="Arial" w:cs="Arial"/>
          <w:i/>
          <w:sz w:val="22"/>
          <w:szCs w:val="22"/>
          <w:lang w:val="en-ZA"/>
        </w:rPr>
        <w:t>full or part</w:t>
      </w:r>
      <w:r w:rsidRPr="00403DF5">
        <w:rPr>
          <w:rFonts w:ascii="Arial" w:hAnsi="Arial" w:cs="Arial"/>
          <w:iCs/>
          <w:sz w:val="22"/>
          <w:szCs w:val="22"/>
          <w:lang w:val="en-ZA"/>
        </w:rPr>
        <w:t xml:space="preserve"> of the amount of Top-up Tax due. For this purpose, the Commissioner may use any of the powers to assess under the TAA, which applies by virtue of the provisions of clause 10(2) of this Bill, including making an original, additional, reduced or jeopardy assessment based in whole or in part on an estimate under section 95 of the TAA.</w:t>
      </w:r>
    </w:p>
    <w:p w14:paraId="75A92684" w14:textId="77777777" w:rsidR="00F436B9" w:rsidRDefault="00F436B9" w:rsidP="00D972AE">
      <w:pPr>
        <w:pStyle w:val="BodyText"/>
        <w:spacing w:before="240" w:after="240"/>
        <w:ind w:left="831" w:right="152"/>
        <w:jc w:val="both"/>
        <w:rPr>
          <w:rFonts w:ascii="Arial" w:hAnsi="Arial" w:cs="Arial"/>
          <w:iCs/>
          <w:sz w:val="22"/>
          <w:szCs w:val="22"/>
          <w:lang w:val="en-ZA"/>
        </w:rPr>
      </w:pPr>
    </w:p>
    <w:p w14:paraId="0AB5D922" w14:textId="77777777" w:rsidR="00F436B9" w:rsidRDefault="00F436B9" w:rsidP="00D972AE">
      <w:pPr>
        <w:pStyle w:val="BodyText"/>
        <w:spacing w:before="240" w:after="240"/>
        <w:ind w:left="831" w:right="152"/>
        <w:jc w:val="both"/>
        <w:rPr>
          <w:rFonts w:ascii="Arial" w:hAnsi="Arial" w:cs="Arial"/>
          <w:iCs/>
          <w:sz w:val="22"/>
          <w:szCs w:val="22"/>
          <w:lang w:val="en-ZA"/>
        </w:rPr>
      </w:pPr>
    </w:p>
    <w:p w14:paraId="233B272D" w14:textId="77777777" w:rsidR="00F436B9" w:rsidRDefault="00F436B9" w:rsidP="00D972AE">
      <w:pPr>
        <w:pStyle w:val="BodyText"/>
        <w:spacing w:before="240" w:after="240"/>
        <w:ind w:left="831" w:right="152"/>
        <w:jc w:val="both"/>
        <w:rPr>
          <w:rFonts w:ascii="Arial" w:hAnsi="Arial" w:cs="Arial"/>
          <w:iCs/>
          <w:sz w:val="22"/>
          <w:szCs w:val="22"/>
          <w:lang w:val="en-ZA"/>
        </w:rPr>
      </w:pPr>
    </w:p>
    <w:p w14:paraId="662AF6F4" w14:textId="77777777" w:rsidR="00F436B9" w:rsidRPr="00403DF5" w:rsidRDefault="00F436B9" w:rsidP="00D972AE">
      <w:pPr>
        <w:pStyle w:val="BodyText"/>
        <w:spacing w:before="240" w:after="240"/>
        <w:ind w:left="831" w:right="152"/>
        <w:jc w:val="both"/>
        <w:rPr>
          <w:rFonts w:ascii="Arial" w:hAnsi="Arial" w:cs="Arial"/>
          <w:iCs/>
          <w:sz w:val="22"/>
          <w:szCs w:val="22"/>
          <w:lang w:val="en-ZA"/>
        </w:rPr>
      </w:pPr>
    </w:p>
    <w:p w14:paraId="5E8A60F0" w14:textId="77777777" w:rsidR="00D972AE" w:rsidRPr="00403DF5" w:rsidRDefault="00D972AE" w:rsidP="00403DF5">
      <w:pPr>
        <w:pStyle w:val="Heading3"/>
        <w:numPr>
          <w:ilvl w:val="1"/>
          <w:numId w:val="37"/>
        </w:numPr>
        <w:tabs>
          <w:tab w:val="left" w:pos="1134"/>
        </w:tabs>
        <w:spacing w:before="360" w:after="120"/>
        <w:ind w:left="993" w:right="153" w:hanging="567"/>
        <w:jc w:val="both"/>
        <w:rPr>
          <w:sz w:val="22"/>
          <w:szCs w:val="22"/>
          <w:lang w:val="en-ZA"/>
        </w:rPr>
      </w:pPr>
      <w:bookmarkStart w:id="145" w:name="_Toc180420390"/>
      <w:bookmarkStart w:id="146" w:name="_Toc189212142"/>
      <w:r w:rsidRPr="00403DF5">
        <w:rPr>
          <w:sz w:val="22"/>
          <w:szCs w:val="22"/>
          <w:lang w:val="en-ZA"/>
        </w:rPr>
        <w:t>Penalties</w:t>
      </w:r>
      <w:bookmarkEnd w:id="145"/>
      <w:bookmarkEnd w:id="146"/>
      <w:r w:rsidRPr="00403DF5">
        <w:rPr>
          <w:sz w:val="22"/>
          <w:szCs w:val="22"/>
          <w:lang w:val="en-ZA"/>
        </w:rPr>
        <w:t xml:space="preserve"> </w:t>
      </w:r>
    </w:p>
    <w:p w14:paraId="7DB5AE2D" w14:textId="77777777" w:rsidR="00D972AE" w:rsidRPr="00403DF5" w:rsidRDefault="00D972AE" w:rsidP="00D972AE">
      <w:pPr>
        <w:pStyle w:val="BodyText"/>
        <w:spacing w:before="120" w:after="240"/>
        <w:ind w:left="493" w:right="153"/>
        <w:jc w:val="both"/>
        <w:rPr>
          <w:rFonts w:ascii="Arial" w:hAnsi="Arial" w:cs="Arial"/>
          <w:iCs/>
          <w:sz w:val="22"/>
          <w:szCs w:val="22"/>
          <w:lang w:val="en-ZA"/>
        </w:rPr>
      </w:pPr>
      <w:r w:rsidRPr="00403DF5">
        <w:rPr>
          <w:rFonts w:ascii="Arial" w:hAnsi="Arial" w:cs="Arial"/>
          <w:sz w:val="22"/>
          <w:szCs w:val="22"/>
          <w:lang w:val="en-ZA"/>
        </w:rPr>
        <w:t>(Main</w:t>
      </w:r>
      <w:r w:rsidRPr="00403DF5">
        <w:rPr>
          <w:rFonts w:ascii="Arial" w:hAnsi="Arial" w:cs="Arial"/>
          <w:spacing w:val="-10"/>
          <w:sz w:val="22"/>
          <w:szCs w:val="22"/>
          <w:lang w:val="en-ZA"/>
        </w:rPr>
        <w:t xml:space="preserve"> </w:t>
      </w:r>
      <w:r w:rsidRPr="00403DF5">
        <w:rPr>
          <w:rFonts w:ascii="Arial" w:hAnsi="Arial" w:cs="Arial"/>
          <w:sz w:val="22"/>
          <w:szCs w:val="22"/>
          <w:lang w:val="en-ZA"/>
        </w:rPr>
        <w:t>reference:</w:t>
      </w:r>
      <w:r w:rsidRPr="00403DF5">
        <w:rPr>
          <w:rFonts w:ascii="Arial" w:hAnsi="Arial" w:cs="Arial"/>
          <w:spacing w:val="-6"/>
          <w:sz w:val="22"/>
          <w:szCs w:val="22"/>
          <w:lang w:val="en-ZA"/>
        </w:rPr>
        <w:t xml:space="preserve"> </w:t>
      </w:r>
      <w:r w:rsidRPr="00403DF5">
        <w:rPr>
          <w:rFonts w:ascii="Arial" w:hAnsi="Arial" w:cs="Arial"/>
          <w:sz w:val="22"/>
          <w:szCs w:val="22"/>
          <w:lang w:val="en-ZA"/>
        </w:rPr>
        <w:t xml:space="preserve">Clause 8 </w:t>
      </w:r>
      <w:r w:rsidRPr="00403DF5">
        <w:rPr>
          <w:rFonts w:ascii="Arial" w:hAnsi="Arial" w:cs="Arial"/>
          <w:spacing w:val="-56"/>
          <w:sz w:val="22"/>
          <w:szCs w:val="22"/>
          <w:lang w:val="en-ZA"/>
        </w:rPr>
        <w:t xml:space="preserve">  </w:t>
      </w:r>
      <w:r w:rsidRPr="00403DF5">
        <w:rPr>
          <w:rFonts w:ascii="Arial" w:hAnsi="Arial" w:cs="Arial"/>
          <w:sz w:val="22"/>
          <w:szCs w:val="22"/>
          <w:lang w:val="en-ZA"/>
        </w:rPr>
        <w:t>of</w:t>
      </w:r>
      <w:r w:rsidRPr="00403DF5">
        <w:rPr>
          <w:rFonts w:ascii="Arial" w:hAnsi="Arial" w:cs="Arial"/>
          <w:spacing w:val="-2"/>
          <w:sz w:val="22"/>
          <w:szCs w:val="22"/>
          <w:lang w:val="en-ZA"/>
        </w:rPr>
        <w:t xml:space="preserve"> </w:t>
      </w:r>
      <w:r w:rsidRPr="00403DF5">
        <w:rPr>
          <w:rFonts w:ascii="Arial" w:hAnsi="Arial" w:cs="Arial"/>
          <w:sz w:val="22"/>
          <w:szCs w:val="22"/>
          <w:lang w:val="en-ZA"/>
        </w:rPr>
        <w:t>the</w:t>
      </w:r>
      <w:r w:rsidRPr="00403DF5">
        <w:rPr>
          <w:rFonts w:ascii="Arial" w:hAnsi="Arial" w:cs="Arial"/>
          <w:spacing w:val="-2"/>
          <w:sz w:val="22"/>
          <w:szCs w:val="22"/>
          <w:lang w:val="en-ZA"/>
        </w:rPr>
        <w:t xml:space="preserve"> </w:t>
      </w:r>
      <w:r w:rsidRPr="00403DF5">
        <w:rPr>
          <w:rFonts w:ascii="Arial" w:hAnsi="Arial" w:cs="Arial"/>
          <w:sz w:val="22"/>
          <w:szCs w:val="22"/>
          <w:lang w:val="en-ZA"/>
        </w:rPr>
        <w:t>Draft</w:t>
      </w:r>
      <w:r w:rsidRPr="00403DF5">
        <w:rPr>
          <w:rFonts w:ascii="Arial" w:hAnsi="Arial" w:cs="Arial"/>
          <w:spacing w:val="-1"/>
          <w:sz w:val="22"/>
          <w:szCs w:val="22"/>
          <w:lang w:val="en-ZA"/>
        </w:rPr>
        <w:t xml:space="preserve"> </w:t>
      </w:r>
      <w:r w:rsidRPr="00403DF5">
        <w:rPr>
          <w:rFonts w:ascii="Arial" w:hAnsi="Arial" w:cs="Arial"/>
          <w:sz w:val="22"/>
          <w:szCs w:val="22"/>
          <w:lang w:val="en-ZA"/>
        </w:rPr>
        <w:t>GMTA Bill)</w:t>
      </w:r>
      <w:r w:rsidRPr="00403DF5">
        <w:rPr>
          <w:rFonts w:ascii="Arial" w:hAnsi="Arial" w:cs="Arial"/>
          <w:iCs/>
          <w:sz w:val="22"/>
          <w:szCs w:val="22"/>
          <w:lang w:val="en-ZA"/>
        </w:rPr>
        <w:t xml:space="preserve"> </w:t>
      </w:r>
    </w:p>
    <w:p w14:paraId="3DE7F021" w14:textId="77777777" w:rsidR="00D972AE" w:rsidRPr="00403DF5" w:rsidRDefault="00D972AE" w:rsidP="00D972AE">
      <w:pPr>
        <w:pStyle w:val="BodyText"/>
        <w:spacing w:before="360" w:after="240"/>
        <w:ind w:left="493" w:right="153"/>
        <w:jc w:val="both"/>
        <w:rPr>
          <w:rFonts w:ascii="Arial" w:hAnsi="Arial" w:cs="Arial"/>
          <w:iCs/>
          <w:sz w:val="22"/>
          <w:szCs w:val="22"/>
          <w:lang w:val="en-ZA"/>
        </w:rPr>
      </w:pPr>
      <w:r w:rsidRPr="00403DF5">
        <w:rPr>
          <w:rFonts w:ascii="Arial" w:hAnsi="Arial" w:cs="Arial"/>
          <w:i/>
          <w:sz w:val="22"/>
          <w:szCs w:val="22"/>
          <w:lang w:val="en-ZA"/>
        </w:rPr>
        <w:t>Comment:</w:t>
      </w:r>
      <w:r w:rsidRPr="00403DF5">
        <w:rPr>
          <w:rFonts w:ascii="Arial" w:hAnsi="Arial" w:cs="Arial"/>
          <w:iCs/>
          <w:sz w:val="22"/>
          <w:szCs w:val="22"/>
          <w:lang w:val="en-ZA"/>
        </w:rPr>
        <w:t xml:space="preserve"> It is not clear how column 3 of the table in section 211 of the TAA will be calculated in relation to Excess Profit defined in the OECD Guidelines as opposed to taxable income. Clause 8 must be reviewed given the lack of clarity with regards to its interaction with section 211 of the TAAt. It is also proposed that this penalty be aligned to section 212 of the TAA.  </w:t>
      </w:r>
    </w:p>
    <w:p w14:paraId="05F3FE87" w14:textId="77777777" w:rsidR="00D972AE" w:rsidRPr="004C639D" w:rsidRDefault="00D972AE" w:rsidP="00D972AE">
      <w:pPr>
        <w:pStyle w:val="BodyText"/>
        <w:widowControl/>
        <w:spacing w:before="240" w:after="240"/>
        <w:ind w:left="833" w:right="153"/>
        <w:jc w:val="both"/>
        <w:rPr>
          <w:rFonts w:ascii="Arial" w:hAnsi="Arial" w:cs="Arial"/>
          <w:iCs/>
          <w:lang w:val="en-ZA"/>
        </w:rPr>
      </w:pPr>
      <w:r w:rsidRPr="00403DF5">
        <w:rPr>
          <w:rFonts w:ascii="Arial" w:hAnsi="Arial" w:cs="Arial"/>
          <w:i/>
          <w:sz w:val="22"/>
          <w:szCs w:val="22"/>
          <w:lang w:val="en-ZA"/>
        </w:rPr>
        <w:t xml:space="preserve">Response: </w:t>
      </w:r>
      <w:r w:rsidRPr="00403DF5">
        <w:rPr>
          <w:rFonts w:ascii="Arial" w:hAnsi="Arial" w:cs="Arial"/>
          <w:iCs/>
          <w:sz w:val="22"/>
          <w:szCs w:val="22"/>
          <w:u w:val="single"/>
          <w:lang w:val="en-ZA"/>
        </w:rPr>
        <w:t>Partially accepted</w:t>
      </w:r>
      <w:r w:rsidRPr="00403DF5">
        <w:rPr>
          <w:rFonts w:ascii="Arial" w:hAnsi="Arial" w:cs="Arial"/>
          <w:iCs/>
          <w:sz w:val="22"/>
          <w:szCs w:val="22"/>
          <w:lang w:val="en-ZA"/>
        </w:rPr>
        <w:t>. Clause 8 provides that, for failure to comply with any obligation under clause 2, an administrative non-compliance penalty of up to R50,000 may be imposed by the Commissioner, which penalty is regarded as a monthly fixed amount administrative penalty imposed under section 210 and section 211 of the TAA for purposes of Chapter 15 of the TAA. This means that the penalty increases monthly under section 211(2) of the TAA until the earlier of the date the non-compliance with clause 2 is remedied or the end of the 35 or 47 months periods referred to in section 211(2), as the case may be</w:t>
      </w:r>
      <w:r w:rsidRPr="004C639D">
        <w:rPr>
          <w:rFonts w:ascii="Arial" w:hAnsi="Arial" w:cs="Arial"/>
          <w:iCs/>
          <w:lang w:val="en-ZA"/>
        </w:rPr>
        <w:t xml:space="preserve">. </w:t>
      </w:r>
    </w:p>
    <w:p w14:paraId="7C784107" w14:textId="77777777" w:rsidR="00D972AE" w:rsidRPr="00403DF5" w:rsidRDefault="00D972AE" w:rsidP="00D972AE">
      <w:pPr>
        <w:pStyle w:val="BodyText"/>
        <w:spacing w:before="240" w:after="240"/>
        <w:ind w:left="831" w:right="152"/>
        <w:jc w:val="both"/>
        <w:rPr>
          <w:rFonts w:ascii="Arial" w:hAnsi="Arial" w:cs="Arial"/>
          <w:iCs/>
          <w:sz w:val="22"/>
          <w:szCs w:val="22"/>
          <w:lang w:val="en-ZA"/>
        </w:rPr>
      </w:pPr>
      <w:r w:rsidRPr="00403DF5">
        <w:rPr>
          <w:rFonts w:ascii="Arial" w:hAnsi="Arial" w:cs="Arial"/>
          <w:iCs/>
          <w:sz w:val="22"/>
          <w:szCs w:val="22"/>
          <w:lang w:val="en-ZA"/>
        </w:rPr>
        <w:t>As the quantum of the penalty is determined by clause 8, column 3 of the Table in section 211(1) is not applicable and the reference thereto in clause 8 will be corrected. However, for purposes of any other non-compliance with the Draft GMT Bill and Draft GMTA Bill, section 210 and the Table in section 211 are applicable.</w:t>
      </w:r>
    </w:p>
    <w:p w14:paraId="2C63AE64" w14:textId="77777777" w:rsidR="00D972AE" w:rsidRPr="00403DF5" w:rsidRDefault="00D972AE" w:rsidP="00D972AE">
      <w:pPr>
        <w:pStyle w:val="BodyText"/>
        <w:spacing w:before="240" w:after="240"/>
        <w:ind w:left="831" w:right="152"/>
        <w:jc w:val="both"/>
        <w:rPr>
          <w:rFonts w:ascii="Arial" w:hAnsi="Arial" w:cs="Arial"/>
          <w:iCs/>
          <w:sz w:val="22"/>
          <w:szCs w:val="22"/>
          <w:lang w:val="en-ZA"/>
        </w:rPr>
      </w:pPr>
      <w:r w:rsidRPr="00403DF5">
        <w:rPr>
          <w:rFonts w:ascii="Arial" w:hAnsi="Arial" w:cs="Arial"/>
          <w:iCs/>
          <w:sz w:val="22"/>
          <w:szCs w:val="22"/>
          <w:lang w:val="en-ZA"/>
        </w:rPr>
        <w:t>The monthly penalty structure has been aligned with section 212 of the TAA, so that the maximum R50 000 penalty is doubled, if the amount of Top-up Tax not paid as a result of the failure to comply, exceeds R5 000 000, and is tripled, if the amount exceeds R10 000 000.</w:t>
      </w:r>
    </w:p>
    <w:p w14:paraId="07260E1E" w14:textId="77777777" w:rsidR="00D972AE" w:rsidRPr="00403DF5" w:rsidRDefault="00D972AE" w:rsidP="00D972AE">
      <w:pPr>
        <w:pStyle w:val="BodyText"/>
        <w:spacing w:before="360" w:after="240"/>
        <w:ind w:left="493" w:right="153"/>
        <w:jc w:val="both"/>
        <w:rPr>
          <w:rFonts w:ascii="Arial" w:hAnsi="Arial" w:cs="Arial"/>
          <w:iCs/>
          <w:sz w:val="22"/>
          <w:szCs w:val="22"/>
          <w:lang w:val="en-ZA"/>
        </w:rPr>
      </w:pPr>
      <w:r w:rsidRPr="00403DF5">
        <w:rPr>
          <w:rFonts w:ascii="Arial" w:hAnsi="Arial" w:cs="Arial"/>
          <w:i/>
          <w:sz w:val="22"/>
          <w:szCs w:val="22"/>
          <w:lang w:val="en-ZA"/>
        </w:rPr>
        <w:t>Comment:</w:t>
      </w:r>
      <w:r w:rsidRPr="00403DF5">
        <w:rPr>
          <w:rFonts w:ascii="Arial" w:hAnsi="Arial" w:cs="Arial"/>
          <w:iCs/>
          <w:sz w:val="22"/>
          <w:szCs w:val="22"/>
          <w:lang w:val="en-ZA"/>
        </w:rPr>
        <w:t xml:space="preserve"> Chapter 3 of the administrative guidance on the GloBE Model Rules provides for Transitional Penalty Relief to apply in respect of the Transition Period (i.e. relief to be provided as concerns Fiscal Years beginning on or before 31/12/2026 but not including a Fiscal Year that ends after 30/6/2028). Accordingly, during the Transition Period, no penalties or sanctions should apply in connection with the filing of a GloBE Information Return where a tax administration considers that an MNE has taken “reasonable measures” to ensure the correct application of the GloBE Rules in such return. This is supported by the complexity of the GLoBE Model Rules and obligations, and the current administrative burden imposed on South African headquartered MNEs, specifically in respect of CFCs. Alternatively, clear and unambiguous guidance must be provided as to when penalties may be imposed in regulations. </w:t>
      </w:r>
    </w:p>
    <w:p w14:paraId="59F85BEE" w14:textId="77777777" w:rsidR="00D972AE" w:rsidRPr="00403DF5" w:rsidRDefault="00D972AE" w:rsidP="00D972AE">
      <w:pPr>
        <w:pStyle w:val="BodyText"/>
        <w:widowControl/>
        <w:spacing w:before="240" w:after="240"/>
        <w:ind w:left="833" w:right="153"/>
        <w:jc w:val="both"/>
        <w:rPr>
          <w:rFonts w:ascii="Arial" w:hAnsi="Arial" w:cs="Arial"/>
          <w:iCs/>
          <w:sz w:val="22"/>
          <w:szCs w:val="22"/>
          <w:lang w:val="en-ZA"/>
        </w:rPr>
      </w:pPr>
      <w:r w:rsidRPr="00403DF5">
        <w:rPr>
          <w:rFonts w:ascii="Arial" w:hAnsi="Arial" w:cs="Arial"/>
          <w:i/>
          <w:sz w:val="22"/>
          <w:szCs w:val="22"/>
          <w:lang w:val="en-ZA"/>
        </w:rPr>
        <w:t xml:space="preserve">Response: </w:t>
      </w:r>
      <w:r w:rsidRPr="00403DF5">
        <w:rPr>
          <w:rFonts w:ascii="Arial" w:hAnsi="Arial" w:cs="Arial"/>
          <w:iCs/>
          <w:sz w:val="22"/>
          <w:szCs w:val="22"/>
          <w:u w:val="single"/>
          <w:lang w:val="en-ZA"/>
        </w:rPr>
        <w:t>Noted</w:t>
      </w:r>
      <w:r w:rsidRPr="00403DF5">
        <w:rPr>
          <w:rFonts w:ascii="Arial" w:hAnsi="Arial" w:cs="Arial"/>
          <w:iCs/>
          <w:sz w:val="22"/>
          <w:szCs w:val="22"/>
          <w:lang w:val="en-ZA"/>
        </w:rPr>
        <w:t>. Clause 8 already provides that the Commissioner “may impose” a fixed amount administrative penalty under section 210 of the TAA of up to R50 000 a month for failure to file a return or GIR in accordance with clause 2. The wording “may impose” contrasts with the use of “must impose” in section 210 of the TAA. This wording makes the imposition and the amount of the penalty discretionary up to the specified maximum and as such is intended to cater for initial interpretive and operational challenges during the transition period relating to the implementation of the Draft GMT Bill and this Bill. The normal remittance, objection and appeal remedies under Chapter 15 of the TAA will also apply, so additional regulations are not necessary.</w:t>
      </w:r>
    </w:p>
    <w:p w14:paraId="27EB9ACB" w14:textId="77777777" w:rsidR="00D972AE" w:rsidRPr="00403DF5" w:rsidRDefault="00D972AE" w:rsidP="00D972AE">
      <w:pPr>
        <w:pStyle w:val="BodyText"/>
        <w:spacing w:before="360" w:after="240"/>
        <w:ind w:left="493" w:right="153"/>
        <w:jc w:val="both"/>
        <w:rPr>
          <w:rFonts w:ascii="Arial" w:hAnsi="Arial" w:cs="Arial"/>
          <w:iCs/>
          <w:sz w:val="22"/>
          <w:szCs w:val="22"/>
          <w:lang w:val="en-ZA"/>
        </w:rPr>
      </w:pPr>
      <w:r w:rsidRPr="00403DF5">
        <w:rPr>
          <w:rFonts w:ascii="Arial" w:hAnsi="Arial" w:cs="Arial"/>
          <w:i/>
          <w:sz w:val="22"/>
          <w:szCs w:val="22"/>
          <w:lang w:val="en-ZA"/>
        </w:rPr>
        <w:t>Comment:</w:t>
      </w:r>
      <w:r w:rsidRPr="00403DF5">
        <w:rPr>
          <w:rFonts w:ascii="Arial" w:hAnsi="Arial" w:cs="Arial"/>
          <w:iCs/>
          <w:sz w:val="22"/>
          <w:szCs w:val="22"/>
          <w:lang w:val="en-ZA"/>
        </w:rPr>
        <w:t xml:space="preserve"> The TAA does not make specific provision under sections 210 and 211 for the remittance of the penalty where the taxpayer has shown to have taken “reasonable measures” to ensure the correct application of the GloBE rules. This is despite the fact that other tax Acts do provide for remittance grounds unique to the specific tax type regulated, which is catered for in the TAA under section 215(5) which provides that if a tax Act other than the TAA provides for remittance grounds for a penalty, SARS may despite the provisions of section 216, 217 or 218 of the TAA  remit the ‘penalty’ or a portion thereof under such grounds. </w:t>
      </w:r>
    </w:p>
    <w:p w14:paraId="149E35B7" w14:textId="77777777" w:rsidR="00D972AE" w:rsidRPr="00403DF5" w:rsidRDefault="00D972AE" w:rsidP="00D972AE">
      <w:pPr>
        <w:pStyle w:val="BodyText"/>
        <w:spacing w:before="240" w:after="240"/>
        <w:ind w:left="831" w:right="152"/>
        <w:jc w:val="both"/>
        <w:rPr>
          <w:rFonts w:ascii="Arial" w:hAnsi="Arial" w:cs="Arial"/>
          <w:iCs/>
          <w:sz w:val="22"/>
          <w:szCs w:val="22"/>
          <w:lang w:val="en-ZA"/>
        </w:rPr>
      </w:pPr>
      <w:r w:rsidRPr="00403DF5">
        <w:rPr>
          <w:rFonts w:ascii="Arial" w:hAnsi="Arial" w:cs="Arial"/>
          <w:i/>
          <w:sz w:val="22"/>
          <w:szCs w:val="22"/>
          <w:lang w:val="en-ZA"/>
        </w:rPr>
        <w:t xml:space="preserve">Response: </w:t>
      </w:r>
      <w:r w:rsidRPr="00403DF5">
        <w:rPr>
          <w:rFonts w:ascii="Arial" w:hAnsi="Arial" w:cs="Arial"/>
          <w:iCs/>
          <w:sz w:val="22"/>
          <w:szCs w:val="22"/>
          <w:u w:val="single"/>
          <w:lang w:val="en-ZA"/>
        </w:rPr>
        <w:t>Comment misplaced</w:t>
      </w:r>
      <w:r w:rsidRPr="00403DF5">
        <w:rPr>
          <w:rFonts w:ascii="Arial" w:hAnsi="Arial" w:cs="Arial"/>
          <w:iCs/>
          <w:sz w:val="22"/>
          <w:szCs w:val="22"/>
          <w:lang w:val="en-ZA"/>
        </w:rPr>
        <w:t>. As noted in the response to the previous comment, the imposition of the penalty is discretionary and this is intended to deal with cases where “reasonable measures” are taken. Additional grounds for remittance on the same basis in the Draft GMTA Bill than in the Chapter 15 of the TAA will be a duplication.</w:t>
      </w:r>
    </w:p>
    <w:p w14:paraId="147F6A66" w14:textId="77777777" w:rsidR="00D972AE" w:rsidRPr="00403DF5" w:rsidRDefault="00D972AE" w:rsidP="00D972AE">
      <w:pPr>
        <w:pStyle w:val="BodyText"/>
        <w:spacing w:before="360" w:after="240"/>
        <w:ind w:left="493" w:right="153"/>
        <w:jc w:val="both"/>
        <w:rPr>
          <w:rFonts w:ascii="Arial" w:hAnsi="Arial" w:cs="Arial"/>
          <w:iCs/>
          <w:sz w:val="22"/>
          <w:szCs w:val="22"/>
          <w:lang w:val="en-ZA"/>
        </w:rPr>
      </w:pPr>
      <w:r w:rsidRPr="00403DF5">
        <w:rPr>
          <w:rFonts w:ascii="Arial" w:hAnsi="Arial" w:cs="Arial"/>
          <w:i/>
          <w:sz w:val="22"/>
          <w:szCs w:val="22"/>
          <w:lang w:val="en-ZA"/>
        </w:rPr>
        <w:t>Comment:</w:t>
      </w:r>
      <w:r w:rsidRPr="00403DF5">
        <w:rPr>
          <w:rFonts w:ascii="Arial" w:hAnsi="Arial" w:cs="Arial"/>
          <w:iCs/>
          <w:sz w:val="22"/>
          <w:szCs w:val="22"/>
          <w:lang w:val="en-ZA"/>
        </w:rPr>
        <w:t xml:space="preserve"> The penalty liability must specifically be imposed on the designated local entity and not all domestic constituent entities. </w:t>
      </w:r>
    </w:p>
    <w:p w14:paraId="77219861" w14:textId="77777777" w:rsidR="00D972AE" w:rsidRPr="00403DF5" w:rsidRDefault="00D972AE" w:rsidP="00D972AE">
      <w:pPr>
        <w:pStyle w:val="BodyText"/>
        <w:widowControl/>
        <w:spacing w:before="240" w:after="240"/>
        <w:ind w:left="833" w:right="153"/>
        <w:jc w:val="both"/>
        <w:rPr>
          <w:rFonts w:ascii="Arial" w:hAnsi="Arial" w:cs="Arial"/>
          <w:iCs/>
          <w:sz w:val="22"/>
          <w:szCs w:val="22"/>
          <w:lang w:val="en-ZA"/>
        </w:rPr>
      </w:pPr>
      <w:r w:rsidRPr="00403DF5">
        <w:rPr>
          <w:rFonts w:ascii="Arial" w:hAnsi="Arial" w:cs="Arial"/>
          <w:i/>
          <w:sz w:val="22"/>
          <w:szCs w:val="22"/>
          <w:lang w:val="en-ZA"/>
        </w:rPr>
        <w:t xml:space="preserve">Response: </w:t>
      </w:r>
      <w:r w:rsidRPr="00403DF5">
        <w:rPr>
          <w:rFonts w:ascii="Arial" w:hAnsi="Arial" w:cs="Arial"/>
          <w:iCs/>
          <w:sz w:val="22"/>
          <w:szCs w:val="22"/>
          <w:u w:val="single"/>
          <w:lang w:val="en-ZA"/>
        </w:rPr>
        <w:t>Not accepted</w:t>
      </w:r>
      <w:r w:rsidRPr="00403DF5">
        <w:rPr>
          <w:rFonts w:ascii="Arial" w:hAnsi="Arial" w:cs="Arial"/>
          <w:iCs/>
          <w:sz w:val="22"/>
          <w:szCs w:val="22"/>
          <w:lang w:val="en-ZA"/>
        </w:rPr>
        <w:t xml:space="preserve">. The Top-up Tax under the Draft GMT Bill is imposed on each Domestic Constituent Entity, which has a primary liability for the tax and primary accountability for compliance with the return and payment obligations. The optional appointment of a Designated Local Entity (DLE) to file on behalf of other Domestic Constituent Entities of the MNE Group is meant as a practical measure so that they do not each have to file a GIR with SARS. </w:t>
      </w:r>
    </w:p>
    <w:p w14:paraId="5EDFAC76" w14:textId="77777777" w:rsidR="00D972AE" w:rsidRPr="00403DF5" w:rsidRDefault="00D972AE" w:rsidP="00D972AE">
      <w:pPr>
        <w:pStyle w:val="BodyText"/>
        <w:widowControl/>
        <w:spacing w:before="240" w:after="240"/>
        <w:ind w:left="833" w:right="153"/>
        <w:jc w:val="both"/>
        <w:rPr>
          <w:rFonts w:ascii="Arial" w:hAnsi="Arial" w:cs="Arial"/>
          <w:iCs/>
          <w:sz w:val="22"/>
          <w:szCs w:val="22"/>
          <w:lang w:val="en-ZA"/>
        </w:rPr>
      </w:pPr>
      <w:r w:rsidRPr="00403DF5">
        <w:rPr>
          <w:rFonts w:ascii="Arial" w:hAnsi="Arial" w:cs="Arial"/>
          <w:iCs/>
          <w:sz w:val="22"/>
          <w:szCs w:val="22"/>
          <w:lang w:val="en-ZA"/>
        </w:rPr>
        <w:t xml:space="preserve">The DLE of a MNE Group is appointed by other Domestic Constituent Entities of that MNE to submit the GIR to SARS </w:t>
      </w:r>
      <w:r w:rsidRPr="00403DF5">
        <w:rPr>
          <w:rFonts w:ascii="Arial" w:hAnsi="Arial" w:cs="Arial"/>
          <w:i/>
          <w:sz w:val="22"/>
          <w:szCs w:val="22"/>
          <w:lang w:val="en-ZA"/>
        </w:rPr>
        <w:t>on their behalf</w:t>
      </w:r>
      <w:r w:rsidRPr="00403DF5">
        <w:rPr>
          <w:rFonts w:ascii="Arial" w:hAnsi="Arial" w:cs="Arial"/>
          <w:iCs/>
          <w:sz w:val="22"/>
          <w:szCs w:val="22"/>
          <w:lang w:val="en-ZA"/>
        </w:rPr>
        <w:t>. Accordingly, a DLE acts at most in a secondary ‘agent capacity’ for the other Domestic Constituent Entities and the latter cannot thereby abdicate primary accountability for their compliance. The choice of the specific Domestic Constituent Entity appointed as DLE is theirs, and their liability or non-compliance cannot shift to the chosen DLE that would also be liable to a penalty given its own individual non-compliance.</w:t>
      </w:r>
    </w:p>
    <w:p w14:paraId="45E80202" w14:textId="77777777" w:rsidR="00D972AE" w:rsidRPr="00403DF5" w:rsidRDefault="00D972AE" w:rsidP="00403DF5">
      <w:pPr>
        <w:pStyle w:val="Heading3"/>
        <w:numPr>
          <w:ilvl w:val="1"/>
          <w:numId w:val="37"/>
        </w:numPr>
        <w:tabs>
          <w:tab w:val="left" w:pos="1134"/>
        </w:tabs>
        <w:spacing w:before="360" w:after="120"/>
        <w:ind w:left="993" w:right="153" w:hanging="567"/>
        <w:jc w:val="both"/>
        <w:rPr>
          <w:sz w:val="22"/>
          <w:szCs w:val="22"/>
          <w:lang w:val="en-ZA"/>
        </w:rPr>
      </w:pPr>
      <w:bookmarkStart w:id="147" w:name="_Toc180420391"/>
      <w:bookmarkStart w:id="148" w:name="_Toc189212143"/>
      <w:r w:rsidRPr="00403DF5">
        <w:rPr>
          <w:sz w:val="22"/>
          <w:szCs w:val="22"/>
          <w:lang w:val="en-ZA"/>
        </w:rPr>
        <w:t>Record keeping and extension of period</w:t>
      </w:r>
      <w:bookmarkEnd w:id="147"/>
      <w:bookmarkEnd w:id="148"/>
      <w:r w:rsidRPr="00403DF5">
        <w:rPr>
          <w:sz w:val="22"/>
          <w:szCs w:val="22"/>
          <w:lang w:val="en-ZA"/>
        </w:rPr>
        <w:t xml:space="preserve"> </w:t>
      </w:r>
    </w:p>
    <w:p w14:paraId="70A1EA14" w14:textId="77777777" w:rsidR="00D972AE" w:rsidRPr="00403DF5" w:rsidRDefault="00D972AE" w:rsidP="00D972AE">
      <w:pPr>
        <w:pStyle w:val="BodyText"/>
        <w:spacing w:before="120" w:after="240"/>
        <w:ind w:left="493" w:right="153"/>
        <w:jc w:val="both"/>
        <w:rPr>
          <w:rFonts w:ascii="Arial" w:hAnsi="Arial" w:cs="Arial"/>
          <w:iCs/>
          <w:sz w:val="22"/>
          <w:szCs w:val="22"/>
          <w:lang w:val="en-ZA"/>
        </w:rPr>
      </w:pPr>
      <w:r w:rsidRPr="00403DF5">
        <w:rPr>
          <w:rFonts w:ascii="Arial" w:hAnsi="Arial" w:cs="Arial"/>
          <w:sz w:val="22"/>
          <w:szCs w:val="22"/>
          <w:lang w:val="en-ZA"/>
        </w:rPr>
        <w:t>(Main</w:t>
      </w:r>
      <w:r w:rsidRPr="00403DF5">
        <w:rPr>
          <w:rFonts w:ascii="Arial" w:hAnsi="Arial" w:cs="Arial"/>
          <w:spacing w:val="-10"/>
          <w:sz w:val="22"/>
          <w:szCs w:val="22"/>
          <w:lang w:val="en-ZA"/>
        </w:rPr>
        <w:t xml:space="preserve"> </w:t>
      </w:r>
      <w:r w:rsidRPr="00403DF5">
        <w:rPr>
          <w:rFonts w:ascii="Arial" w:hAnsi="Arial" w:cs="Arial"/>
          <w:sz w:val="22"/>
          <w:szCs w:val="22"/>
          <w:lang w:val="en-ZA"/>
        </w:rPr>
        <w:t>reference:</w:t>
      </w:r>
      <w:r w:rsidRPr="00403DF5">
        <w:rPr>
          <w:rFonts w:ascii="Arial" w:hAnsi="Arial" w:cs="Arial"/>
          <w:spacing w:val="-6"/>
          <w:sz w:val="22"/>
          <w:szCs w:val="22"/>
          <w:lang w:val="en-ZA"/>
        </w:rPr>
        <w:t xml:space="preserve"> </w:t>
      </w:r>
      <w:r w:rsidRPr="00403DF5">
        <w:rPr>
          <w:rFonts w:ascii="Arial" w:hAnsi="Arial" w:cs="Arial"/>
          <w:sz w:val="22"/>
          <w:szCs w:val="22"/>
          <w:lang w:val="en-ZA"/>
        </w:rPr>
        <w:t xml:space="preserve">Clause 9 </w:t>
      </w:r>
      <w:r w:rsidRPr="00403DF5">
        <w:rPr>
          <w:rFonts w:ascii="Arial" w:hAnsi="Arial" w:cs="Arial"/>
          <w:spacing w:val="-56"/>
          <w:sz w:val="22"/>
          <w:szCs w:val="22"/>
          <w:lang w:val="en-ZA"/>
        </w:rPr>
        <w:t xml:space="preserve">  </w:t>
      </w:r>
      <w:r w:rsidRPr="00403DF5">
        <w:rPr>
          <w:rFonts w:ascii="Arial" w:hAnsi="Arial" w:cs="Arial"/>
          <w:sz w:val="22"/>
          <w:szCs w:val="22"/>
          <w:lang w:val="en-ZA"/>
        </w:rPr>
        <w:t>of</w:t>
      </w:r>
      <w:r w:rsidRPr="00403DF5">
        <w:rPr>
          <w:rFonts w:ascii="Arial" w:hAnsi="Arial" w:cs="Arial"/>
          <w:spacing w:val="-2"/>
          <w:sz w:val="22"/>
          <w:szCs w:val="22"/>
          <w:lang w:val="en-ZA"/>
        </w:rPr>
        <w:t xml:space="preserve"> </w:t>
      </w:r>
      <w:r w:rsidRPr="00403DF5">
        <w:rPr>
          <w:rFonts w:ascii="Arial" w:hAnsi="Arial" w:cs="Arial"/>
          <w:sz w:val="22"/>
          <w:szCs w:val="22"/>
          <w:lang w:val="en-ZA"/>
        </w:rPr>
        <w:t>the</w:t>
      </w:r>
      <w:r w:rsidRPr="00403DF5">
        <w:rPr>
          <w:rFonts w:ascii="Arial" w:hAnsi="Arial" w:cs="Arial"/>
          <w:spacing w:val="-2"/>
          <w:sz w:val="22"/>
          <w:szCs w:val="22"/>
          <w:lang w:val="en-ZA"/>
        </w:rPr>
        <w:t xml:space="preserve"> </w:t>
      </w:r>
      <w:r w:rsidRPr="00403DF5">
        <w:rPr>
          <w:rFonts w:ascii="Arial" w:hAnsi="Arial" w:cs="Arial"/>
          <w:sz w:val="22"/>
          <w:szCs w:val="22"/>
          <w:lang w:val="en-ZA"/>
        </w:rPr>
        <w:t>Draft</w:t>
      </w:r>
      <w:r w:rsidRPr="00403DF5">
        <w:rPr>
          <w:rFonts w:ascii="Arial" w:hAnsi="Arial" w:cs="Arial"/>
          <w:spacing w:val="-1"/>
          <w:sz w:val="22"/>
          <w:szCs w:val="22"/>
          <w:lang w:val="en-ZA"/>
        </w:rPr>
        <w:t xml:space="preserve"> </w:t>
      </w:r>
      <w:r w:rsidRPr="00403DF5">
        <w:rPr>
          <w:rFonts w:ascii="Arial" w:hAnsi="Arial" w:cs="Arial"/>
          <w:sz w:val="22"/>
          <w:szCs w:val="22"/>
          <w:lang w:val="en-ZA"/>
        </w:rPr>
        <w:t>GMTA Bill)</w:t>
      </w:r>
      <w:r w:rsidRPr="00403DF5">
        <w:rPr>
          <w:rFonts w:ascii="Arial" w:hAnsi="Arial" w:cs="Arial"/>
          <w:iCs/>
          <w:sz w:val="22"/>
          <w:szCs w:val="22"/>
          <w:lang w:val="en-ZA"/>
        </w:rPr>
        <w:t xml:space="preserve"> </w:t>
      </w:r>
    </w:p>
    <w:p w14:paraId="0E9DFBED" w14:textId="77777777" w:rsidR="00D972AE" w:rsidRDefault="00D972AE" w:rsidP="00D972AE">
      <w:pPr>
        <w:pStyle w:val="BodyText"/>
        <w:spacing w:before="360" w:after="240"/>
        <w:ind w:left="493" w:right="153"/>
        <w:jc w:val="both"/>
        <w:rPr>
          <w:rFonts w:ascii="Arial" w:hAnsi="Arial" w:cs="Arial"/>
          <w:iCs/>
          <w:sz w:val="22"/>
          <w:szCs w:val="22"/>
          <w:lang w:val="en-ZA"/>
        </w:rPr>
      </w:pPr>
      <w:r w:rsidRPr="00403DF5">
        <w:rPr>
          <w:rFonts w:ascii="Arial" w:hAnsi="Arial" w:cs="Arial"/>
          <w:i/>
          <w:sz w:val="22"/>
          <w:szCs w:val="22"/>
          <w:lang w:val="en-ZA"/>
        </w:rPr>
        <w:t>Comment:</w:t>
      </w:r>
      <w:r w:rsidRPr="00403DF5">
        <w:rPr>
          <w:rFonts w:ascii="Arial" w:hAnsi="Arial" w:cs="Arial"/>
          <w:iCs/>
          <w:sz w:val="22"/>
          <w:szCs w:val="22"/>
          <w:lang w:val="en-ZA"/>
        </w:rPr>
        <w:t xml:space="preserve"> Clause 9(2) requires that records, books of account or documents need to be retained for an extended period of six years for GMT purposes. This may give rise to administrative difficulties for taxpayers as they may potentially be unable to assess what information or records are required for purposes of the GMT vs information that is applicable for other tax returns submissions (for which the record keeping period is five years). It is proposed that the period for record keeping and period for limitations for issuance of assessments under sections 29(3) and 99(1) of the TAA, respectively, must not exceed five years.</w:t>
      </w:r>
    </w:p>
    <w:p w14:paraId="6F9E9DBD" w14:textId="77777777" w:rsidR="00AC66B3" w:rsidRPr="00403DF5" w:rsidRDefault="00AC66B3" w:rsidP="00D972AE">
      <w:pPr>
        <w:pStyle w:val="BodyText"/>
        <w:spacing w:before="360" w:after="240"/>
        <w:ind w:left="493" w:right="153"/>
        <w:jc w:val="both"/>
        <w:rPr>
          <w:rFonts w:ascii="Arial" w:hAnsi="Arial" w:cs="Arial"/>
          <w:iCs/>
          <w:sz w:val="22"/>
          <w:szCs w:val="22"/>
          <w:lang w:val="en-ZA"/>
        </w:rPr>
      </w:pPr>
    </w:p>
    <w:p w14:paraId="5DD673E9" w14:textId="63F97A39" w:rsidR="00D972AE" w:rsidRPr="00403DF5" w:rsidRDefault="00D972AE" w:rsidP="00D972AE">
      <w:pPr>
        <w:pStyle w:val="BodyText"/>
        <w:spacing w:before="240" w:after="240"/>
        <w:ind w:left="831" w:right="152"/>
        <w:jc w:val="both"/>
        <w:rPr>
          <w:rFonts w:ascii="Arial" w:hAnsi="Arial" w:cs="Arial"/>
          <w:iCs/>
          <w:sz w:val="24"/>
          <w:szCs w:val="24"/>
          <w:lang w:val="en-ZA"/>
        </w:rPr>
      </w:pPr>
      <w:r w:rsidRPr="00403DF5">
        <w:rPr>
          <w:rFonts w:ascii="Arial" w:hAnsi="Arial" w:cs="Arial"/>
          <w:i/>
          <w:sz w:val="24"/>
          <w:szCs w:val="24"/>
          <w:lang w:val="en-ZA"/>
        </w:rPr>
        <w:t xml:space="preserve">Response: </w:t>
      </w:r>
      <w:r w:rsidRPr="00403DF5">
        <w:rPr>
          <w:rFonts w:ascii="Arial" w:hAnsi="Arial" w:cs="Arial"/>
          <w:iCs/>
          <w:sz w:val="24"/>
          <w:szCs w:val="24"/>
          <w:u w:val="single"/>
          <w:lang w:val="en-ZA"/>
        </w:rPr>
        <w:t>Partially accepted</w:t>
      </w:r>
      <w:r w:rsidRPr="00403DF5">
        <w:rPr>
          <w:rFonts w:ascii="Arial" w:hAnsi="Arial" w:cs="Arial"/>
          <w:iCs/>
          <w:sz w:val="24"/>
          <w:szCs w:val="24"/>
          <w:lang w:val="en-ZA"/>
        </w:rPr>
        <w:t>. A longer record keeping period of seven years (not six years) is required as the GloBE Model Rules envisage the revisiting of GloBE Information Returns after five years to take account of certain deferred tax liabilities claimed that have not reversed (i.e. have not crystalised) within this period. The GIR for the fifth year, which will take up any adjustments in this regard, must only be submitted 15 months after the end of the year, so it may only be in the process of preparing (and evaluating) this return that the need for a reversal is detected.  The extension of the period of limitations to six years has, however, been dropped, since the adjustment is made in the fifth year, so there is no need to revisit the fi</w:t>
      </w:r>
      <w:r w:rsidR="00AC66B3" w:rsidRPr="00403DF5">
        <w:rPr>
          <w:rFonts w:ascii="Arial" w:hAnsi="Arial" w:cs="Arial"/>
          <w:iCs/>
          <w:sz w:val="24"/>
          <w:szCs w:val="24"/>
          <w:lang w:val="en-ZA"/>
        </w:rPr>
        <w:t>r</w:t>
      </w:r>
      <w:r w:rsidRPr="00403DF5">
        <w:rPr>
          <w:rFonts w:ascii="Arial" w:hAnsi="Arial" w:cs="Arial"/>
          <w:iCs/>
          <w:sz w:val="24"/>
          <w:szCs w:val="24"/>
          <w:lang w:val="en-ZA"/>
        </w:rPr>
        <w:t>st year.</w:t>
      </w:r>
    </w:p>
    <w:p w14:paraId="0729900F" w14:textId="77777777" w:rsidR="00D972AE" w:rsidRPr="00403DF5" w:rsidRDefault="00D972AE" w:rsidP="00403DF5">
      <w:pPr>
        <w:pStyle w:val="Heading3"/>
        <w:numPr>
          <w:ilvl w:val="1"/>
          <w:numId w:val="37"/>
        </w:numPr>
        <w:tabs>
          <w:tab w:val="left" w:pos="1134"/>
        </w:tabs>
        <w:spacing w:before="360" w:after="120"/>
        <w:ind w:left="993" w:right="153" w:hanging="567"/>
        <w:jc w:val="both"/>
        <w:rPr>
          <w:sz w:val="22"/>
          <w:szCs w:val="22"/>
          <w:lang w:val="en-ZA"/>
        </w:rPr>
      </w:pPr>
      <w:r w:rsidRPr="00403DF5">
        <w:rPr>
          <w:sz w:val="22"/>
          <w:szCs w:val="22"/>
          <w:lang w:val="en-ZA"/>
        </w:rPr>
        <w:tab/>
      </w:r>
      <w:bookmarkStart w:id="149" w:name="_Toc180420392"/>
      <w:bookmarkStart w:id="150" w:name="_Toc189212144"/>
      <w:r w:rsidRPr="00403DF5">
        <w:rPr>
          <w:sz w:val="22"/>
          <w:szCs w:val="22"/>
          <w:lang w:val="en-ZA"/>
        </w:rPr>
        <w:t>Administration of the Act</w:t>
      </w:r>
      <w:bookmarkEnd w:id="149"/>
      <w:bookmarkEnd w:id="150"/>
      <w:r w:rsidRPr="00403DF5">
        <w:rPr>
          <w:sz w:val="22"/>
          <w:szCs w:val="22"/>
          <w:lang w:val="en-ZA"/>
        </w:rPr>
        <w:t xml:space="preserve"> </w:t>
      </w:r>
    </w:p>
    <w:p w14:paraId="60883DD4" w14:textId="77777777" w:rsidR="00D972AE" w:rsidRPr="00403DF5" w:rsidRDefault="00D972AE" w:rsidP="00D972AE">
      <w:pPr>
        <w:pStyle w:val="BodyText"/>
        <w:keepNext/>
        <w:spacing w:before="120" w:after="240"/>
        <w:ind w:left="493" w:right="153"/>
        <w:jc w:val="both"/>
        <w:rPr>
          <w:rFonts w:ascii="Arial" w:hAnsi="Arial" w:cs="Arial"/>
          <w:iCs/>
          <w:sz w:val="22"/>
          <w:szCs w:val="22"/>
          <w:lang w:val="en-ZA"/>
        </w:rPr>
      </w:pPr>
      <w:r w:rsidRPr="00403DF5">
        <w:rPr>
          <w:rFonts w:ascii="Arial" w:hAnsi="Arial" w:cs="Arial"/>
          <w:sz w:val="22"/>
          <w:szCs w:val="22"/>
          <w:lang w:val="en-ZA"/>
        </w:rPr>
        <w:t>(Main</w:t>
      </w:r>
      <w:r w:rsidRPr="00403DF5">
        <w:rPr>
          <w:rFonts w:ascii="Arial" w:hAnsi="Arial" w:cs="Arial"/>
          <w:spacing w:val="-10"/>
          <w:sz w:val="22"/>
          <w:szCs w:val="22"/>
          <w:lang w:val="en-ZA"/>
        </w:rPr>
        <w:t xml:space="preserve"> </w:t>
      </w:r>
      <w:r w:rsidRPr="00403DF5">
        <w:rPr>
          <w:rFonts w:ascii="Arial" w:hAnsi="Arial" w:cs="Arial"/>
          <w:sz w:val="22"/>
          <w:szCs w:val="22"/>
          <w:lang w:val="en-ZA"/>
        </w:rPr>
        <w:t>reference:</w:t>
      </w:r>
      <w:r w:rsidRPr="00403DF5">
        <w:rPr>
          <w:rFonts w:ascii="Arial" w:hAnsi="Arial" w:cs="Arial"/>
          <w:spacing w:val="-6"/>
          <w:sz w:val="22"/>
          <w:szCs w:val="22"/>
          <w:lang w:val="en-ZA"/>
        </w:rPr>
        <w:t xml:space="preserve"> </w:t>
      </w:r>
      <w:r w:rsidRPr="00403DF5">
        <w:rPr>
          <w:rFonts w:ascii="Arial" w:hAnsi="Arial" w:cs="Arial"/>
          <w:sz w:val="22"/>
          <w:szCs w:val="22"/>
          <w:lang w:val="en-ZA"/>
        </w:rPr>
        <w:t xml:space="preserve">Clause 10 </w:t>
      </w:r>
      <w:r w:rsidRPr="00403DF5">
        <w:rPr>
          <w:rFonts w:ascii="Arial" w:hAnsi="Arial" w:cs="Arial"/>
          <w:spacing w:val="-56"/>
          <w:sz w:val="22"/>
          <w:szCs w:val="22"/>
          <w:lang w:val="en-ZA"/>
        </w:rPr>
        <w:t xml:space="preserve">  </w:t>
      </w:r>
      <w:r w:rsidRPr="00403DF5">
        <w:rPr>
          <w:rFonts w:ascii="Arial" w:hAnsi="Arial" w:cs="Arial"/>
          <w:sz w:val="22"/>
          <w:szCs w:val="22"/>
          <w:lang w:val="en-ZA"/>
        </w:rPr>
        <w:t>of</w:t>
      </w:r>
      <w:r w:rsidRPr="00403DF5">
        <w:rPr>
          <w:rFonts w:ascii="Arial" w:hAnsi="Arial" w:cs="Arial"/>
          <w:spacing w:val="-2"/>
          <w:sz w:val="22"/>
          <w:szCs w:val="22"/>
          <w:lang w:val="en-ZA"/>
        </w:rPr>
        <w:t xml:space="preserve"> </w:t>
      </w:r>
      <w:r w:rsidRPr="00403DF5">
        <w:rPr>
          <w:rFonts w:ascii="Arial" w:hAnsi="Arial" w:cs="Arial"/>
          <w:sz w:val="22"/>
          <w:szCs w:val="22"/>
          <w:lang w:val="en-ZA"/>
        </w:rPr>
        <w:t>the</w:t>
      </w:r>
      <w:r w:rsidRPr="00403DF5">
        <w:rPr>
          <w:rFonts w:ascii="Arial" w:hAnsi="Arial" w:cs="Arial"/>
          <w:spacing w:val="-2"/>
          <w:sz w:val="22"/>
          <w:szCs w:val="22"/>
          <w:lang w:val="en-ZA"/>
        </w:rPr>
        <w:t xml:space="preserve"> </w:t>
      </w:r>
      <w:r w:rsidRPr="00403DF5">
        <w:rPr>
          <w:rFonts w:ascii="Arial" w:hAnsi="Arial" w:cs="Arial"/>
          <w:sz w:val="22"/>
          <w:szCs w:val="22"/>
          <w:lang w:val="en-ZA"/>
        </w:rPr>
        <w:t>Draft</w:t>
      </w:r>
      <w:r w:rsidRPr="00403DF5">
        <w:rPr>
          <w:rFonts w:ascii="Arial" w:hAnsi="Arial" w:cs="Arial"/>
          <w:spacing w:val="-1"/>
          <w:sz w:val="22"/>
          <w:szCs w:val="22"/>
          <w:lang w:val="en-ZA"/>
        </w:rPr>
        <w:t xml:space="preserve"> </w:t>
      </w:r>
      <w:r w:rsidRPr="00403DF5">
        <w:rPr>
          <w:rFonts w:ascii="Arial" w:hAnsi="Arial" w:cs="Arial"/>
          <w:sz w:val="22"/>
          <w:szCs w:val="22"/>
          <w:lang w:val="en-ZA"/>
        </w:rPr>
        <w:t>GMTA Bill)</w:t>
      </w:r>
      <w:r w:rsidRPr="00403DF5">
        <w:rPr>
          <w:rFonts w:ascii="Arial" w:hAnsi="Arial" w:cs="Arial"/>
          <w:iCs/>
          <w:sz w:val="22"/>
          <w:szCs w:val="22"/>
          <w:lang w:val="en-ZA"/>
        </w:rPr>
        <w:t xml:space="preserve"> </w:t>
      </w:r>
    </w:p>
    <w:p w14:paraId="65B8D890" w14:textId="77777777" w:rsidR="00D972AE" w:rsidRPr="00403DF5" w:rsidRDefault="00D972AE" w:rsidP="00D972AE">
      <w:pPr>
        <w:pStyle w:val="BodyText"/>
        <w:spacing w:before="360" w:after="240"/>
        <w:ind w:left="493" w:right="153"/>
        <w:jc w:val="both"/>
        <w:rPr>
          <w:rFonts w:ascii="Arial" w:hAnsi="Arial" w:cs="Arial"/>
          <w:iCs/>
          <w:sz w:val="22"/>
          <w:szCs w:val="22"/>
          <w:lang w:val="en-ZA"/>
        </w:rPr>
      </w:pPr>
      <w:r w:rsidRPr="00403DF5">
        <w:rPr>
          <w:rFonts w:ascii="Arial" w:hAnsi="Arial" w:cs="Arial"/>
          <w:i/>
          <w:sz w:val="22"/>
          <w:szCs w:val="22"/>
          <w:lang w:val="en-ZA"/>
        </w:rPr>
        <w:t>Comment:</w:t>
      </w:r>
      <w:r w:rsidRPr="00403DF5">
        <w:rPr>
          <w:rFonts w:ascii="Arial" w:hAnsi="Arial" w:cs="Arial"/>
          <w:iCs/>
          <w:sz w:val="22"/>
          <w:szCs w:val="22"/>
          <w:lang w:val="en-ZA"/>
        </w:rPr>
        <w:t xml:space="preserve"> Clause 10 states that the Commissioner must administer the Draft GMT Bill and the Draft GMTA Bill in accordance with, where applicable, the provisions of the TAA. Providing that the TAA will apply “where applicable”, introduces ambiguity, as it is not clear when the TAA will apply and when it will not apply. It could be interpreted that the Commissioner has the discretion to decide when the TAA will be applicable. It is proposed that the Draft GMTA Bill should specify that administrative requirements and procedures for purposes of the performance of any duty, power or obligation or the exercise of any right in terms of the SA GloBE legislation are, to the extent not regulated by the Draft GMTA Bill, regulated by the TAA. </w:t>
      </w:r>
    </w:p>
    <w:p w14:paraId="7F58F163" w14:textId="77777777" w:rsidR="00D972AE" w:rsidRPr="00403DF5" w:rsidRDefault="00D972AE" w:rsidP="00D972AE">
      <w:pPr>
        <w:pStyle w:val="BodyText"/>
        <w:spacing w:before="240" w:after="240"/>
        <w:ind w:left="831" w:right="152"/>
        <w:jc w:val="both"/>
        <w:rPr>
          <w:rFonts w:ascii="Arial" w:hAnsi="Arial" w:cs="Arial"/>
          <w:iCs/>
          <w:sz w:val="22"/>
          <w:szCs w:val="22"/>
          <w:lang w:val="en-ZA"/>
        </w:rPr>
      </w:pPr>
      <w:r w:rsidRPr="00403DF5">
        <w:rPr>
          <w:rFonts w:ascii="Arial" w:hAnsi="Arial" w:cs="Arial"/>
          <w:i/>
          <w:sz w:val="22"/>
          <w:szCs w:val="22"/>
          <w:lang w:val="en-ZA"/>
        </w:rPr>
        <w:t xml:space="preserve">Response: </w:t>
      </w:r>
      <w:r w:rsidRPr="00403DF5">
        <w:rPr>
          <w:rFonts w:ascii="Arial" w:hAnsi="Arial" w:cs="Arial"/>
          <w:iCs/>
          <w:sz w:val="22"/>
          <w:szCs w:val="22"/>
          <w:u w:val="single"/>
          <w:lang w:val="en-ZA"/>
        </w:rPr>
        <w:t>Accepted</w:t>
      </w:r>
      <w:r w:rsidRPr="00403DF5">
        <w:rPr>
          <w:rFonts w:ascii="Arial" w:hAnsi="Arial" w:cs="Arial"/>
          <w:iCs/>
          <w:sz w:val="22"/>
          <w:szCs w:val="22"/>
          <w:lang w:val="en-ZA"/>
        </w:rPr>
        <w:t xml:space="preserve">. The introductory wording to clause 1 and the provisions of clause 10 have been changed to provide more clarity in this regard. </w:t>
      </w:r>
    </w:p>
    <w:p w14:paraId="12316472" w14:textId="77777777" w:rsidR="00D972AE" w:rsidRPr="00403DF5" w:rsidRDefault="00D972AE" w:rsidP="00403DF5">
      <w:pPr>
        <w:pStyle w:val="Heading3"/>
        <w:numPr>
          <w:ilvl w:val="1"/>
          <w:numId w:val="37"/>
        </w:numPr>
        <w:tabs>
          <w:tab w:val="left" w:pos="1134"/>
        </w:tabs>
        <w:spacing w:before="360" w:after="120"/>
        <w:ind w:left="993" w:right="153" w:hanging="567"/>
        <w:jc w:val="both"/>
        <w:rPr>
          <w:sz w:val="22"/>
          <w:szCs w:val="22"/>
          <w:lang w:val="en-ZA"/>
        </w:rPr>
      </w:pPr>
      <w:r w:rsidRPr="00403DF5">
        <w:rPr>
          <w:sz w:val="22"/>
          <w:szCs w:val="22"/>
          <w:lang w:val="en-ZA"/>
        </w:rPr>
        <w:tab/>
      </w:r>
      <w:bookmarkStart w:id="151" w:name="_Toc180420393"/>
      <w:bookmarkStart w:id="152" w:name="_Toc189212145"/>
      <w:r w:rsidRPr="00403DF5">
        <w:rPr>
          <w:sz w:val="22"/>
          <w:szCs w:val="22"/>
          <w:lang w:val="en-ZA"/>
        </w:rPr>
        <w:t>Short title and commencement</w:t>
      </w:r>
      <w:bookmarkEnd w:id="151"/>
      <w:bookmarkEnd w:id="152"/>
      <w:r w:rsidRPr="00403DF5">
        <w:rPr>
          <w:sz w:val="22"/>
          <w:szCs w:val="22"/>
          <w:lang w:val="en-ZA"/>
        </w:rPr>
        <w:t xml:space="preserve"> </w:t>
      </w:r>
    </w:p>
    <w:p w14:paraId="0BE71819" w14:textId="77777777" w:rsidR="00D972AE" w:rsidRPr="00403DF5" w:rsidRDefault="00D972AE" w:rsidP="00D972AE">
      <w:pPr>
        <w:pStyle w:val="BodyText"/>
        <w:spacing w:before="120" w:after="240"/>
        <w:ind w:left="493" w:right="153"/>
        <w:jc w:val="both"/>
        <w:rPr>
          <w:rFonts w:ascii="Arial" w:hAnsi="Arial" w:cs="Arial"/>
          <w:iCs/>
          <w:sz w:val="22"/>
          <w:szCs w:val="22"/>
          <w:lang w:val="en-ZA"/>
        </w:rPr>
      </w:pPr>
      <w:r w:rsidRPr="00403DF5">
        <w:rPr>
          <w:rFonts w:ascii="Arial" w:hAnsi="Arial" w:cs="Arial"/>
          <w:sz w:val="22"/>
          <w:szCs w:val="22"/>
          <w:lang w:val="en-ZA"/>
        </w:rPr>
        <w:t>(Main</w:t>
      </w:r>
      <w:r w:rsidRPr="00403DF5">
        <w:rPr>
          <w:rFonts w:ascii="Arial" w:hAnsi="Arial" w:cs="Arial"/>
          <w:spacing w:val="-10"/>
          <w:sz w:val="22"/>
          <w:szCs w:val="22"/>
          <w:lang w:val="en-ZA"/>
        </w:rPr>
        <w:t xml:space="preserve"> </w:t>
      </w:r>
      <w:r w:rsidRPr="00403DF5">
        <w:rPr>
          <w:rFonts w:ascii="Arial" w:hAnsi="Arial" w:cs="Arial"/>
          <w:sz w:val="22"/>
          <w:szCs w:val="22"/>
          <w:lang w:val="en-ZA"/>
        </w:rPr>
        <w:t>reference:</w:t>
      </w:r>
      <w:r w:rsidRPr="00403DF5">
        <w:rPr>
          <w:rFonts w:ascii="Arial" w:hAnsi="Arial" w:cs="Arial"/>
          <w:spacing w:val="-6"/>
          <w:sz w:val="22"/>
          <w:szCs w:val="22"/>
          <w:lang w:val="en-ZA"/>
        </w:rPr>
        <w:t xml:space="preserve"> </w:t>
      </w:r>
      <w:r w:rsidRPr="00403DF5">
        <w:rPr>
          <w:rFonts w:ascii="Arial" w:hAnsi="Arial" w:cs="Arial"/>
          <w:sz w:val="22"/>
          <w:szCs w:val="22"/>
          <w:lang w:val="en-ZA"/>
        </w:rPr>
        <w:t xml:space="preserve">Clause 12 </w:t>
      </w:r>
      <w:r w:rsidRPr="00403DF5">
        <w:rPr>
          <w:rFonts w:ascii="Arial" w:hAnsi="Arial" w:cs="Arial"/>
          <w:spacing w:val="-56"/>
          <w:sz w:val="22"/>
          <w:szCs w:val="22"/>
          <w:lang w:val="en-ZA"/>
        </w:rPr>
        <w:t xml:space="preserve">  </w:t>
      </w:r>
      <w:r w:rsidRPr="00403DF5">
        <w:rPr>
          <w:rFonts w:ascii="Arial" w:hAnsi="Arial" w:cs="Arial"/>
          <w:sz w:val="22"/>
          <w:szCs w:val="22"/>
          <w:lang w:val="en-ZA"/>
        </w:rPr>
        <w:t>of</w:t>
      </w:r>
      <w:r w:rsidRPr="00403DF5">
        <w:rPr>
          <w:rFonts w:ascii="Arial" w:hAnsi="Arial" w:cs="Arial"/>
          <w:spacing w:val="-2"/>
          <w:sz w:val="22"/>
          <w:szCs w:val="22"/>
          <w:lang w:val="en-ZA"/>
        </w:rPr>
        <w:t xml:space="preserve"> </w:t>
      </w:r>
      <w:r w:rsidRPr="00403DF5">
        <w:rPr>
          <w:rFonts w:ascii="Arial" w:hAnsi="Arial" w:cs="Arial"/>
          <w:sz w:val="22"/>
          <w:szCs w:val="22"/>
          <w:lang w:val="en-ZA"/>
        </w:rPr>
        <w:t>the</w:t>
      </w:r>
      <w:r w:rsidRPr="00403DF5">
        <w:rPr>
          <w:rFonts w:ascii="Arial" w:hAnsi="Arial" w:cs="Arial"/>
          <w:spacing w:val="-2"/>
          <w:sz w:val="22"/>
          <w:szCs w:val="22"/>
          <w:lang w:val="en-ZA"/>
        </w:rPr>
        <w:t xml:space="preserve"> </w:t>
      </w:r>
      <w:r w:rsidRPr="00403DF5">
        <w:rPr>
          <w:rFonts w:ascii="Arial" w:hAnsi="Arial" w:cs="Arial"/>
          <w:sz w:val="22"/>
          <w:szCs w:val="22"/>
          <w:lang w:val="en-ZA"/>
        </w:rPr>
        <w:t>Draft</w:t>
      </w:r>
      <w:r w:rsidRPr="00403DF5">
        <w:rPr>
          <w:rFonts w:ascii="Arial" w:hAnsi="Arial" w:cs="Arial"/>
          <w:spacing w:val="-1"/>
          <w:sz w:val="22"/>
          <w:szCs w:val="22"/>
          <w:lang w:val="en-ZA"/>
        </w:rPr>
        <w:t xml:space="preserve"> </w:t>
      </w:r>
      <w:r w:rsidRPr="00403DF5">
        <w:rPr>
          <w:rFonts w:ascii="Arial" w:hAnsi="Arial" w:cs="Arial"/>
          <w:sz w:val="22"/>
          <w:szCs w:val="22"/>
          <w:lang w:val="en-ZA"/>
        </w:rPr>
        <w:t>GMTA Bill)</w:t>
      </w:r>
      <w:r w:rsidRPr="00403DF5">
        <w:rPr>
          <w:rFonts w:ascii="Arial" w:hAnsi="Arial" w:cs="Arial"/>
          <w:iCs/>
          <w:sz w:val="22"/>
          <w:szCs w:val="22"/>
          <w:lang w:val="en-ZA"/>
        </w:rPr>
        <w:t xml:space="preserve"> </w:t>
      </w:r>
    </w:p>
    <w:p w14:paraId="3B9430C7" w14:textId="77777777" w:rsidR="00D972AE" w:rsidRPr="00403DF5" w:rsidRDefault="00D972AE" w:rsidP="00D972AE">
      <w:pPr>
        <w:pStyle w:val="BodyText"/>
        <w:spacing w:before="360" w:after="240"/>
        <w:ind w:left="493" w:right="153"/>
        <w:jc w:val="both"/>
        <w:rPr>
          <w:rFonts w:ascii="Arial" w:hAnsi="Arial" w:cs="Arial"/>
          <w:iCs/>
          <w:sz w:val="22"/>
          <w:szCs w:val="22"/>
          <w:lang w:val="en-ZA"/>
        </w:rPr>
      </w:pPr>
      <w:r w:rsidRPr="00403DF5">
        <w:rPr>
          <w:rFonts w:ascii="Arial" w:hAnsi="Arial" w:cs="Arial"/>
          <w:i/>
          <w:sz w:val="22"/>
          <w:szCs w:val="22"/>
          <w:lang w:val="en-ZA"/>
        </w:rPr>
        <w:t>Comment:</w:t>
      </w:r>
      <w:r w:rsidRPr="00403DF5">
        <w:rPr>
          <w:rFonts w:ascii="Arial" w:hAnsi="Arial" w:cs="Arial"/>
          <w:iCs/>
          <w:sz w:val="22"/>
          <w:szCs w:val="22"/>
          <w:lang w:val="en-ZA"/>
        </w:rPr>
        <w:t xml:space="preserve"> This commencement provision should use the same wording as that in the commencement provision of the Draft GMT Bill to avoid any confusion. </w:t>
      </w:r>
    </w:p>
    <w:p w14:paraId="3F2016E3" w14:textId="77777777" w:rsidR="00D972AE" w:rsidRPr="00403DF5" w:rsidRDefault="00D972AE" w:rsidP="00D972AE">
      <w:pPr>
        <w:pStyle w:val="BodyText"/>
        <w:spacing w:before="240" w:after="240"/>
        <w:ind w:left="831" w:right="152"/>
        <w:jc w:val="both"/>
        <w:rPr>
          <w:rFonts w:ascii="Arial" w:hAnsi="Arial" w:cs="Arial"/>
          <w:iCs/>
          <w:sz w:val="22"/>
          <w:szCs w:val="22"/>
          <w:lang w:val="en-ZA"/>
        </w:rPr>
      </w:pPr>
      <w:r w:rsidRPr="00403DF5">
        <w:rPr>
          <w:rFonts w:ascii="Arial" w:hAnsi="Arial" w:cs="Arial"/>
          <w:i/>
          <w:sz w:val="22"/>
          <w:szCs w:val="22"/>
          <w:lang w:val="en-ZA"/>
        </w:rPr>
        <w:t xml:space="preserve">Response: </w:t>
      </w:r>
      <w:r w:rsidRPr="00403DF5">
        <w:rPr>
          <w:rFonts w:ascii="Arial" w:hAnsi="Arial" w:cs="Arial"/>
          <w:iCs/>
          <w:sz w:val="22"/>
          <w:szCs w:val="22"/>
          <w:u w:val="single"/>
          <w:lang w:val="en-ZA"/>
        </w:rPr>
        <w:t>Partially accepted</w:t>
      </w:r>
      <w:r w:rsidRPr="00403DF5">
        <w:rPr>
          <w:rFonts w:ascii="Arial" w:hAnsi="Arial" w:cs="Arial"/>
          <w:iCs/>
          <w:sz w:val="22"/>
          <w:szCs w:val="22"/>
          <w:lang w:val="en-ZA"/>
        </w:rPr>
        <w:t>. For purposes of an administration Bill specific to the administration of a money Bill, the commencement date of the administration Bill is generally aligned to the commencement of the money Bill. This caters for any change to the commencement date of the Draft GMT Bill. However, the words “and applies to Fiscal Years beginning on or after that date” will be added to clause 12 to ensure certainty in this regard.</w:t>
      </w:r>
    </w:p>
    <w:p w14:paraId="4D1ADF13" w14:textId="77777777" w:rsidR="00D972AE" w:rsidRPr="00403DF5" w:rsidRDefault="00D972AE" w:rsidP="00D972AE">
      <w:pPr>
        <w:pStyle w:val="BodyText"/>
        <w:spacing w:before="360" w:after="240"/>
        <w:ind w:left="493" w:right="153"/>
        <w:jc w:val="both"/>
        <w:rPr>
          <w:rFonts w:ascii="Arial" w:hAnsi="Arial" w:cs="Arial"/>
          <w:iCs/>
          <w:sz w:val="22"/>
          <w:szCs w:val="22"/>
          <w:lang w:val="en-ZA"/>
        </w:rPr>
      </w:pPr>
      <w:r w:rsidRPr="00403DF5">
        <w:rPr>
          <w:rFonts w:ascii="Arial" w:hAnsi="Arial" w:cs="Arial"/>
          <w:i/>
          <w:sz w:val="22"/>
          <w:szCs w:val="22"/>
          <w:lang w:val="en-ZA"/>
        </w:rPr>
        <w:t>Comment:</w:t>
      </w:r>
      <w:r w:rsidRPr="00403DF5">
        <w:rPr>
          <w:rFonts w:ascii="Arial" w:hAnsi="Arial" w:cs="Arial"/>
          <w:iCs/>
          <w:sz w:val="22"/>
          <w:szCs w:val="22"/>
          <w:lang w:val="en-ZA"/>
        </w:rPr>
        <w:t xml:space="preserve"> Given the short timeframe provided by NT for the implementation of this legislation, it is submitted that SARS set up a unit, team or person dedicated to addressing the anticipated practical in a timeous manner. </w:t>
      </w:r>
    </w:p>
    <w:p w14:paraId="73734A72" w14:textId="2EAFF716" w:rsidR="00E86A7E" w:rsidRPr="004C639D" w:rsidRDefault="00D972AE" w:rsidP="00403DF5">
      <w:pPr>
        <w:pStyle w:val="BodyText"/>
        <w:spacing w:before="1" w:line="271" w:lineRule="auto"/>
        <w:ind w:right="152"/>
        <w:jc w:val="both"/>
      </w:pPr>
      <w:r w:rsidRPr="00403DF5">
        <w:rPr>
          <w:rFonts w:ascii="Arial" w:hAnsi="Arial" w:cs="Arial"/>
          <w:i/>
          <w:sz w:val="22"/>
          <w:szCs w:val="22"/>
        </w:rPr>
        <w:t xml:space="preserve">Response: </w:t>
      </w:r>
      <w:r w:rsidRPr="00403DF5">
        <w:rPr>
          <w:rFonts w:ascii="Arial" w:hAnsi="Arial" w:cs="Arial"/>
          <w:iCs/>
          <w:sz w:val="22"/>
          <w:szCs w:val="22"/>
          <w:u w:val="single"/>
        </w:rPr>
        <w:t>Noted</w:t>
      </w:r>
      <w:r w:rsidRPr="00403DF5">
        <w:rPr>
          <w:rFonts w:ascii="Arial" w:hAnsi="Arial" w:cs="Arial"/>
          <w:iCs/>
          <w:sz w:val="22"/>
          <w:szCs w:val="22"/>
        </w:rPr>
        <w:t>. This will form part of the operational implementation of this Bill, which generally caters for stakeholder input as well as a published standard operating procedure.</w:t>
      </w:r>
    </w:p>
    <w:p w14:paraId="5665FF5C" w14:textId="77777777" w:rsidR="00E86A7E" w:rsidRPr="004C639D" w:rsidRDefault="00E86A7E" w:rsidP="00E86A7E">
      <w:pPr>
        <w:pStyle w:val="1Section"/>
        <w:spacing w:line="276" w:lineRule="auto"/>
        <w:jc w:val="center"/>
        <w:outlineLvl w:val="9"/>
      </w:pPr>
      <w:bookmarkStart w:id="153" w:name="_Toc180420394"/>
      <w:r w:rsidRPr="004C639D">
        <w:rPr>
          <w:sz w:val="28"/>
        </w:rPr>
        <w:t>2024 Draft Tax Administration Laws Amendment Bill</w:t>
      </w:r>
      <w:bookmarkEnd w:id="153"/>
    </w:p>
    <w:p w14:paraId="1D61E119" w14:textId="73D8F25F" w:rsidR="003B2592" w:rsidRPr="004C639D" w:rsidRDefault="00E86A7E" w:rsidP="00403DF5">
      <w:pPr>
        <w:pStyle w:val="1Section"/>
        <w:numPr>
          <w:ilvl w:val="0"/>
          <w:numId w:val="37"/>
        </w:numPr>
        <w:spacing w:line="276" w:lineRule="auto"/>
        <w:ind w:left="450" w:hanging="360"/>
      </w:pPr>
      <w:bookmarkStart w:id="154" w:name="_Toc180420395"/>
      <w:bookmarkStart w:id="155" w:name="_Toc189212146"/>
      <w:r w:rsidRPr="004C639D">
        <w:t>TAX ADMINISTRATION LAWS AMENDMENT BIL</w:t>
      </w:r>
      <w:r w:rsidR="00E9199E">
        <w:t>L</w:t>
      </w:r>
      <w:bookmarkEnd w:id="154"/>
      <w:bookmarkEnd w:id="155"/>
    </w:p>
    <w:p w14:paraId="4DACFA3C" w14:textId="77777777" w:rsidR="00E86A7E" w:rsidRPr="00403DF5" w:rsidRDefault="00E86A7E" w:rsidP="00403DF5">
      <w:pPr>
        <w:pStyle w:val="Heading3"/>
        <w:numPr>
          <w:ilvl w:val="1"/>
          <w:numId w:val="37"/>
        </w:numPr>
        <w:tabs>
          <w:tab w:val="left" w:pos="1134"/>
        </w:tabs>
        <w:spacing w:before="360" w:after="120"/>
        <w:ind w:left="993" w:right="153" w:hanging="567"/>
        <w:jc w:val="both"/>
        <w:rPr>
          <w:sz w:val="22"/>
          <w:szCs w:val="22"/>
          <w:lang w:val="en-ZA"/>
        </w:rPr>
      </w:pPr>
      <w:bookmarkStart w:id="156" w:name="_Toc180420396"/>
      <w:bookmarkStart w:id="157" w:name="_Toc189212147"/>
      <w:r w:rsidRPr="00403DF5">
        <w:rPr>
          <w:sz w:val="22"/>
          <w:szCs w:val="22"/>
          <w:lang w:val="en-ZA"/>
        </w:rPr>
        <w:t>Amendment to the definition of “provisional taxpayer”</w:t>
      </w:r>
      <w:bookmarkEnd w:id="156"/>
      <w:bookmarkEnd w:id="157"/>
      <w:r w:rsidRPr="00403DF5">
        <w:rPr>
          <w:sz w:val="22"/>
          <w:szCs w:val="22"/>
          <w:lang w:val="en-ZA"/>
        </w:rPr>
        <w:t xml:space="preserve"> </w:t>
      </w:r>
    </w:p>
    <w:p w14:paraId="0008A525" w14:textId="77777777" w:rsidR="00E86A7E" w:rsidRPr="00403DF5" w:rsidRDefault="00E86A7E" w:rsidP="00E86A7E">
      <w:pPr>
        <w:pStyle w:val="BodyText"/>
        <w:spacing w:before="120" w:after="240"/>
        <w:ind w:left="493" w:right="153"/>
        <w:jc w:val="both"/>
        <w:rPr>
          <w:rFonts w:ascii="Arial" w:hAnsi="Arial" w:cs="Arial"/>
          <w:b/>
          <w:bCs/>
          <w:color w:val="000000"/>
          <w:sz w:val="22"/>
          <w:szCs w:val="22"/>
          <w:lang w:val="en-ZA"/>
        </w:rPr>
      </w:pPr>
      <w:r w:rsidRPr="00403DF5">
        <w:rPr>
          <w:rFonts w:ascii="Arial" w:hAnsi="Arial" w:cs="Arial"/>
          <w:color w:val="000000"/>
          <w:sz w:val="22"/>
          <w:szCs w:val="22"/>
          <w:lang w:val="en-ZA"/>
        </w:rPr>
        <w:t>(Main reference: Paragraph 2 of the Fourth Schedule to the Income Tax Act, 1962; clause 2 of the draft TALAB)</w:t>
      </w:r>
      <w:r w:rsidRPr="00403DF5">
        <w:rPr>
          <w:rFonts w:ascii="Arial" w:hAnsi="Arial" w:cs="Arial"/>
          <w:b/>
          <w:bCs/>
          <w:color w:val="000000"/>
          <w:sz w:val="22"/>
          <w:szCs w:val="22"/>
          <w:lang w:val="en-ZA"/>
        </w:rPr>
        <w:t xml:space="preserve"> </w:t>
      </w:r>
    </w:p>
    <w:p w14:paraId="66B42BA5" w14:textId="77777777" w:rsidR="00E86A7E" w:rsidRPr="00403DF5" w:rsidRDefault="00E86A7E" w:rsidP="00E86A7E">
      <w:pPr>
        <w:pStyle w:val="BodyText"/>
        <w:spacing w:before="360" w:after="240"/>
        <w:ind w:left="493" w:right="153"/>
        <w:jc w:val="both"/>
        <w:rPr>
          <w:rFonts w:ascii="Arial" w:hAnsi="Arial" w:cs="Arial"/>
          <w:color w:val="000000"/>
          <w:sz w:val="22"/>
          <w:szCs w:val="22"/>
          <w:lang w:val="en-ZA"/>
        </w:rPr>
      </w:pPr>
      <w:r w:rsidRPr="00403DF5">
        <w:rPr>
          <w:rFonts w:ascii="Arial" w:hAnsi="Arial" w:cs="Arial"/>
          <w:i/>
          <w:iCs/>
          <w:color w:val="000000"/>
          <w:sz w:val="22"/>
          <w:szCs w:val="22"/>
          <w:lang w:val="en-ZA"/>
        </w:rPr>
        <w:t>Comment:</w:t>
      </w:r>
      <w:r w:rsidRPr="00403DF5">
        <w:rPr>
          <w:rFonts w:ascii="Arial" w:hAnsi="Arial" w:cs="Arial"/>
          <w:color w:val="000000"/>
          <w:sz w:val="22"/>
          <w:szCs w:val="22"/>
          <w:lang w:val="en-ZA"/>
        </w:rPr>
        <w:t xml:space="preserve"> It is recommended that the requirement in para 2(5)</w:t>
      </w:r>
      <w:r w:rsidRPr="00403DF5">
        <w:rPr>
          <w:rFonts w:ascii="Arial" w:hAnsi="Arial" w:cs="Arial"/>
          <w:i/>
          <w:iCs/>
          <w:color w:val="000000"/>
          <w:sz w:val="22"/>
          <w:szCs w:val="22"/>
          <w:lang w:val="en-ZA"/>
        </w:rPr>
        <w:t>(a)</w:t>
      </w:r>
      <w:r w:rsidRPr="00403DF5">
        <w:rPr>
          <w:rFonts w:ascii="Arial" w:hAnsi="Arial" w:cs="Arial"/>
          <w:color w:val="000000"/>
          <w:sz w:val="22"/>
          <w:szCs w:val="22"/>
          <w:lang w:val="en-ZA"/>
        </w:rPr>
        <w:t xml:space="preserve"> be deleted as it relates to provisional taxpayers as such act of exemption automatically will make the labour broker a provisional taxpayer and cannot be a pre-requirement. </w:t>
      </w:r>
    </w:p>
    <w:p w14:paraId="28FB436B" w14:textId="77777777" w:rsidR="00E86A7E" w:rsidRPr="00403DF5" w:rsidRDefault="00E86A7E" w:rsidP="00E86A7E">
      <w:pPr>
        <w:pStyle w:val="BodyText"/>
        <w:spacing w:before="240" w:after="240"/>
        <w:ind w:left="831" w:right="152"/>
        <w:jc w:val="both"/>
        <w:rPr>
          <w:rFonts w:ascii="Arial" w:hAnsi="Arial" w:cs="Arial"/>
          <w:color w:val="000000"/>
          <w:sz w:val="22"/>
          <w:szCs w:val="22"/>
          <w:lang w:val="en-ZA"/>
        </w:rPr>
      </w:pPr>
      <w:r w:rsidRPr="00403DF5">
        <w:rPr>
          <w:rFonts w:ascii="Arial" w:hAnsi="Arial" w:cs="Arial"/>
          <w:i/>
          <w:iCs/>
          <w:color w:val="000000"/>
          <w:sz w:val="22"/>
          <w:szCs w:val="22"/>
          <w:lang w:val="en-ZA"/>
        </w:rPr>
        <w:t xml:space="preserve">Response: </w:t>
      </w:r>
      <w:r w:rsidRPr="00403DF5">
        <w:rPr>
          <w:rFonts w:ascii="Arial" w:hAnsi="Arial" w:cs="Arial"/>
          <w:color w:val="000000"/>
          <w:sz w:val="22"/>
          <w:szCs w:val="22"/>
          <w:u w:val="single"/>
          <w:lang w:val="en-ZA"/>
        </w:rPr>
        <w:t>Accepted.</w:t>
      </w:r>
      <w:r w:rsidRPr="00403DF5">
        <w:rPr>
          <w:rFonts w:ascii="Arial" w:hAnsi="Arial" w:cs="Arial"/>
          <w:color w:val="000000"/>
          <w:sz w:val="22"/>
          <w:szCs w:val="22"/>
          <w:lang w:val="en-ZA"/>
        </w:rPr>
        <w:t xml:space="preserve"> The wording has been amended as proposed. </w:t>
      </w:r>
    </w:p>
    <w:p w14:paraId="4A562541" w14:textId="77777777" w:rsidR="00E86A7E" w:rsidRPr="00403DF5" w:rsidRDefault="00E86A7E" w:rsidP="00403DF5">
      <w:pPr>
        <w:pStyle w:val="Heading3"/>
        <w:numPr>
          <w:ilvl w:val="1"/>
          <w:numId w:val="37"/>
        </w:numPr>
        <w:tabs>
          <w:tab w:val="left" w:pos="1134"/>
        </w:tabs>
        <w:spacing w:before="360" w:after="120"/>
        <w:ind w:left="993" w:right="153" w:hanging="567"/>
        <w:jc w:val="both"/>
        <w:rPr>
          <w:sz w:val="22"/>
          <w:szCs w:val="22"/>
          <w:lang w:val="en-ZA"/>
        </w:rPr>
      </w:pPr>
      <w:bookmarkStart w:id="158" w:name="_Toc180420397"/>
      <w:bookmarkStart w:id="159" w:name="_Toc189212148"/>
      <w:r w:rsidRPr="00403DF5">
        <w:rPr>
          <w:sz w:val="22"/>
          <w:szCs w:val="22"/>
          <w:lang w:val="en-ZA"/>
        </w:rPr>
        <w:t>Timing of VAT on imported services</w:t>
      </w:r>
      <w:bookmarkEnd w:id="158"/>
      <w:bookmarkEnd w:id="159"/>
    </w:p>
    <w:p w14:paraId="65E01018" w14:textId="77777777" w:rsidR="00E86A7E" w:rsidRPr="00403DF5" w:rsidRDefault="00E86A7E" w:rsidP="00E86A7E">
      <w:pPr>
        <w:pStyle w:val="BodyText"/>
        <w:spacing w:before="120" w:after="240"/>
        <w:ind w:left="493" w:right="153"/>
        <w:jc w:val="both"/>
        <w:rPr>
          <w:rFonts w:ascii="Arial" w:hAnsi="Arial" w:cs="Arial"/>
          <w:b/>
          <w:bCs/>
          <w:color w:val="000000"/>
          <w:sz w:val="22"/>
          <w:szCs w:val="22"/>
          <w:lang w:val="en-ZA"/>
        </w:rPr>
      </w:pPr>
      <w:bookmarkStart w:id="160" w:name="_Hlk180069544"/>
      <w:r w:rsidRPr="00403DF5">
        <w:rPr>
          <w:rFonts w:ascii="Arial" w:hAnsi="Arial" w:cs="Arial"/>
          <w:color w:val="000000"/>
          <w:sz w:val="22"/>
          <w:szCs w:val="22"/>
          <w:lang w:val="en-ZA"/>
        </w:rPr>
        <w:t>(Main reference: Section 14 of the Value-Added Tax Act, 1991; clause 9 of the draft TALAB)</w:t>
      </w:r>
      <w:r w:rsidRPr="00403DF5">
        <w:rPr>
          <w:rFonts w:ascii="Arial" w:hAnsi="Arial" w:cs="Arial"/>
          <w:b/>
          <w:bCs/>
          <w:color w:val="000000"/>
          <w:sz w:val="22"/>
          <w:szCs w:val="22"/>
          <w:lang w:val="en-ZA"/>
        </w:rPr>
        <w:t xml:space="preserve"> </w:t>
      </w:r>
    </w:p>
    <w:bookmarkEnd w:id="160"/>
    <w:p w14:paraId="5FD64E9F" w14:textId="77777777" w:rsidR="00E86A7E" w:rsidRPr="00403DF5" w:rsidRDefault="00E86A7E" w:rsidP="00E86A7E">
      <w:pPr>
        <w:pStyle w:val="BodyText"/>
        <w:spacing w:before="360" w:after="240"/>
        <w:ind w:left="493" w:right="153"/>
        <w:jc w:val="both"/>
        <w:rPr>
          <w:rFonts w:ascii="Arial" w:hAnsi="Arial" w:cs="Arial"/>
          <w:color w:val="000000"/>
          <w:sz w:val="22"/>
          <w:szCs w:val="22"/>
          <w:lang w:val="en-ZA"/>
        </w:rPr>
      </w:pPr>
      <w:r w:rsidRPr="00403DF5">
        <w:rPr>
          <w:rFonts w:ascii="Arial" w:hAnsi="Arial" w:cs="Arial"/>
          <w:i/>
          <w:iCs/>
          <w:color w:val="000000"/>
          <w:sz w:val="22"/>
          <w:szCs w:val="22"/>
          <w:lang w:val="en-ZA"/>
        </w:rPr>
        <w:t>Comment:</w:t>
      </w:r>
      <w:r w:rsidRPr="00403DF5">
        <w:rPr>
          <w:rFonts w:ascii="Arial" w:hAnsi="Arial" w:cs="Arial"/>
          <w:color w:val="000000"/>
          <w:sz w:val="22"/>
          <w:szCs w:val="22"/>
          <w:lang w:val="en-ZA"/>
        </w:rPr>
        <w:t xml:space="preserve"> The proposed extension of the timeframe for accounting for VAT on imported services from 30 to 60 days is a welcomed and is a positive development. However, the continued reliance on the </w:t>
      </w:r>
      <w:r w:rsidRPr="00403DF5">
        <w:rPr>
          <w:rFonts w:ascii="Arial" w:hAnsi="Arial" w:cs="Arial"/>
          <w:i/>
          <w:iCs/>
          <w:color w:val="000000"/>
          <w:sz w:val="22"/>
          <w:szCs w:val="22"/>
          <w:lang w:val="en-ZA"/>
        </w:rPr>
        <w:t>invoice date</w:t>
      </w:r>
      <w:r w:rsidRPr="00403DF5">
        <w:rPr>
          <w:rFonts w:ascii="Arial" w:hAnsi="Arial" w:cs="Arial"/>
          <w:color w:val="000000"/>
          <w:sz w:val="22"/>
          <w:szCs w:val="22"/>
          <w:lang w:val="en-ZA"/>
        </w:rPr>
        <w:t xml:space="preserve"> as the basis for this timeframe does not adequately reflect the foreign payment processes employed by most vendors. Typically, invoices from foreign suppliers are processed differently compared to those from local suppliers, with the former often being recorded in the Enterprise Resource Planning (ERP) system only upon payment. Due to varying payment terms, the payment date may significantly differ from the invoice date. </w:t>
      </w:r>
    </w:p>
    <w:p w14:paraId="3B9304CD" w14:textId="77777777" w:rsidR="00E86A7E" w:rsidRPr="00403DF5" w:rsidRDefault="00E86A7E" w:rsidP="00E86A7E">
      <w:pPr>
        <w:pStyle w:val="BodyText"/>
        <w:spacing w:before="360" w:after="240"/>
        <w:ind w:left="493" w:right="153"/>
        <w:jc w:val="both"/>
        <w:rPr>
          <w:rFonts w:ascii="Arial" w:hAnsi="Arial" w:cs="Arial"/>
          <w:color w:val="000000"/>
          <w:sz w:val="22"/>
          <w:szCs w:val="22"/>
          <w:lang w:val="en-ZA"/>
        </w:rPr>
      </w:pPr>
      <w:r w:rsidRPr="00403DF5">
        <w:rPr>
          <w:rFonts w:ascii="Arial" w:hAnsi="Arial" w:cs="Arial"/>
          <w:color w:val="000000"/>
          <w:sz w:val="22"/>
          <w:szCs w:val="22"/>
          <w:lang w:val="en-ZA"/>
        </w:rPr>
        <w:t xml:space="preserve">It is therefore submitted that VAT on imported services be accounted for within 60 days from the </w:t>
      </w:r>
      <w:r w:rsidRPr="00403DF5">
        <w:rPr>
          <w:rFonts w:ascii="Arial" w:hAnsi="Arial" w:cs="Arial"/>
          <w:i/>
          <w:iCs/>
          <w:color w:val="000000"/>
          <w:sz w:val="22"/>
          <w:szCs w:val="22"/>
          <w:lang w:val="en-ZA"/>
        </w:rPr>
        <w:t>date of payment</w:t>
      </w:r>
      <w:r w:rsidRPr="00403DF5">
        <w:rPr>
          <w:rFonts w:ascii="Arial" w:hAnsi="Arial" w:cs="Arial"/>
          <w:color w:val="000000"/>
          <w:sz w:val="22"/>
          <w:szCs w:val="22"/>
          <w:lang w:val="en-ZA"/>
        </w:rPr>
        <w:t xml:space="preserve">. This approach aligns with the actual timing of the financial transaction and allows for the application of the foreign currency exchange rate prevailing at the time of payment, ensuring accuracy in VAT calculations. </w:t>
      </w:r>
    </w:p>
    <w:p w14:paraId="122BFA8D" w14:textId="77777777" w:rsidR="00E86A7E" w:rsidRPr="003F111D" w:rsidRDefault="00E86A7E" w:rsidP="00E86A7E">
      <w:pPr>
        <w:pStyle w:val="BodyText"/>
        <w:spacing w:before="240" w:after="240"/>
        <w:ind w:left="831" w:right="152"/>
        <w:jc w:val="both"/>
        <w:rPr>
          <w:rFonts w:ascii="Arial" w:hAnsi="Arial" w:cs="Arial"/>
          <w:color w:val="000000"/>
          <w:lang w:val="en-ZA"/>
        </w:rPr>
      </w:pPr>
      <w:r w:rsidRPr="00403DF5">
        <w:rPr>
          <w:rFonts w:ascii="Arial" w:hAnsi="Arial" w:cs="Arial"/>
          <w:i/>
          <w:iCs/>
          <w:color w:val="000000"/>
          <w:sz w:val="22"/>
          <w:szCs w:val="22"/>
          <w:lang w:val="en-ZA"/>
        </w:rPr>
        <w:t>Response:</w:t>
      </w:r>
      <w:r w:rsidRPr="00403DF5">
        <w:rPr>
          <w:rFonts w:ascii="Arial" w:hAnsi="Arial" w:cs="Arial"/>
          <w:color w:val="000000"/>
          <w:sz w:val="22"/>
          <w:szCs w:val="22"/>
          <w:lang w:val="en-ZA"/>
        </w:rPr>
        <w:t xml:space="preserve"> </w:t>
      </w:r>
      <w:r w:rsidRPr="00403DF5">
        <w:rPr>
          <w:rFonts w:ascii="Arial" w:hAnsi="Arial" w:cs="Arial"/>
          <w:color w:val="000000"/>
          <w:sz w:val="22"/>
          <w:szCs w:val="22"/>
          <w:u w:val="single"/>
          <w:lang w:val="en-ZA"/>
        </w:rPr>
        <w:t>Not accepted</w:t>
      </w:r>
      <w:r w:rsidRPr="00403DF5">
        <w:rPr>
          <w:rFonts w:ascii="Arial" w:hAnsi="Arial" w:cs="Arial"/>
          <w:color w:val="000000"/>
          <w:sz w:val="22"/>
          <w:szCs w:val="22"/>
          <w:lang w:val="en-ZA"/>
        </w:rPr>
        <w:t>. International benchmarking done by SARS indicates that South Africa’s time of supply rules, based on the earlier of invoice or payment date, are aligned with general practice</w:t>
      </w:r>
      <w:r w:rsidRPr="003F111D">
        <w:rPr>
          <w:rFonts w:ascii="Arial" w:hAnsi="Arial" w:cs="Arial"/>
          <w:color w:val="000000"/>
          <w:lang w:val="en-ZA"/>
        </w:rPr>
        <w:t xml:space="preserve">. </w:t>
      </w:r>
    </w:p>
    <w:p w14:paraId="3C37B10A" w14:textId="77777777" w:rsidR="00E86A7E" w:rsidRPr="003F111D" w:rsidRDefault="00E86A7E" w:rsidP="00E86A7E">
      <w:pPr>
        <w:pStyle w:val="BodyText"/>
        <w:spacing w:before="360" w:after="240"/>
        <w:ind w:left="493" w:right="153"/>
        <w:jc w:val="both"/>
        <w:rPr>
          <w:rFonts w:ascii="Arial" w:hAnsi="Arial" w:cs="Arial"/>
          <w:sz w:val="22"/>
          <w:szCs w:val="22"/>
          <w:lang w:val="en-ZA"/>
        </w:rPr>
      </w:pPr>
      <w:r w:rsidRPr="003F111D">
        <w:rPr>
          <w:rFonts w:ascii="Arial" w:hAnsi="Arial" w:cs="Arial"/>
          <w:i/>
          <w:iCs/>
          <w:sz w:val="22"/>
          <w:szCs w:val="22"/>
          <w:lang w:val="en-ZA"/>
        </w:rPr>
        <w:t>Comment:</w:t>
      </w:r>
      <w:r w:rsidRPr="003F111D">
        <w:rPr>
          <w:rFonts w:ascii="Arial" w:hAnsi="Arial" w:cs="Arial"/>
          <w:sz w:val="22"/>
          <w:szCs w:val="22"/>
          <w:lang w:val="en-ZA"/>
        </w:rPr>
        <w:t xml:space="preserve"> While this change is welcomed, in practice such sourcing of invoices is often a lot longer than one or two months. It is proposed that the period be extended further to 90 days from the proposed 60 days which will align closer to what happens in practice.</w:t>
      </w:r>
    </w:p>
    <w:p w14:paraId="3F8FA0DA" w14:textId="77777777" w:rsidR="00E86A7E" w:rsidRPr="003F111D" w:rsidRDefault="00E86A7E" w:rsidP="00E86A7E">
      <w:pPr>
        <w:pStyle w:val="BodyText"/>
        <w:spacing w:before="240" w:after="240"/>
        <w:ind w:left="831" w:right="152"/>
        <w:jc w:val="both"/>
        <w:rPr>
          <w:rFonts w:ascii="Arial" w:hAnsi="Arial" w:cs="Arial"/>
          <w:sz w:val="22"/>
          <w:szCs w:val="22"/>
          <w:lang w:val="en-ZA"/>
        </w:rPr>
      </w:pPr>
      <w:r w:rsidRPr="003F111D">
        <w:rPr>
          <w:rFonts w:ascii="Arial" w:hAnsi="Arial" w:cs="Arial"/>
          <w:i/>
          <w:iCs/>
          <w:sz w:val="22"/>
          <w:szCs w:val="22"/>
          <w:lang w:val="en-ZA"/>
        </w:rPr>
        <w:t xml:space="preserve">Response: </w:t>
      </w:r>
      <w:r w:rsidRPr="003F111D">
        <w:rPr>
          <w:rFonts w:ascii="Arial" w:hAnsi="Arial" w:cs="Arial"/>
          <w:sz w:val="22"/>
          <w:szCs w:val="22"/>
          <w:u w:val="single"/>
          <w:lang w:val="en-ZA"/>
        </w:rPr>
        <w:t>Not accepted</w:t>
      </w:r>
      <w:r w:rsidRPr="00403DF5">
        <w:rPr>
          <w:rFonts w:ascii="Arial" w:hAnsi="Arial" w:cs="Arial"/>
          <w:sz w:val="22"/>
          <w:szCs w:val="22"/>
          <w:lang w:val="en-ZA"/>
        </w:rPr>
        <w:t>.</w:t>
      </w:r>
      <w:r w:rsidRPr="003F111D">
        <w:rPr>
          <w:rFonts w:ascii="Arial" w:hAnsi="Arial" w:cs="Arial"/>
          <w:i/>
          <w:iCs/>
          <w:sz w:val="22"/>
          <w:szCs w:val="22"/>
          <w:lang w:val="en-ZA"/>
        </w:rPr>
        <w:t xml:space="preserve"> </w:t>
      </w:r>
      <w:r w:rsidRPr="003F111D">
        <w:rPr>
          <w:rFonts w:ascii="Arial" w:hAnsi="Arial" w:cs="Arial"/>
          <w:sz w:val="22"/>
          <w:szCs w:val="22"/>
          <w:lang w:val="en-ZA"/>
        </w:rPr>
        <w:t xml:space="preserve">The 60 days granted is in addition to the period in the normal reporting cycle (generally monthly or bi-monthly) and the 25 days for submission of a return. </w:t>
      </w:r>
    </w:p>
    <w:p w14:paraId="041AAB55" w14:textId="77777777" w:rsidR="00E86A7E" w:rsidRPr="00403DF5" w:rsidRDefault="00E86A7E" w:rsidP="00403DF5">
      <w:pPr>
        <w:pStyle w:val="Heading3"/>
        <w:numPr>
          <w:ilvl w:val="1"/>
          <w:numId w:val="37"/>
        </w:numPr>
        <w:tabs>
          <w:tab w:val="left" w:pos="1134"/>
        </w:tabs>
        <w:spacing w:before="360" w:after="120"/>
        <w:ind w:left="993" w:right="153" w:hanging="567"/>
        <w:jc w:val="both"/>
        <w:rPr>
          <w:sz w:val="22"/>
          <w:szCs w:val="22"/>
          <w:lang w:val="en-ZA"/>
        </w:rPr>
      </w:pPr>
      <w:bookmarkStart w:id="161" w:name="_Toc180420398"/>
      <w:bookmarkStart w:id="162" w:name="_Toc189212149"/>
      <w:r w:rsidRPr="00403DF5">
        <w:rPr>
          <w:sz w:val="22"/>
          <w:szCs w:val="22"/>
          <w:lang w:val="en-ZA"/>
        </w:rPr>
        <w:t>Overpayments of VAT on the importation of goods and imported services</w:t>
      </w:r>
      <w:bookmarkEnd w:id="161"/>
      <w:bookmarkEnd w:id="162"/>
    </w:p>
    <w:p w14:paraId="0E2B9115" w14:textId="77777777" w:rsidR="00E86A7E" w:rsidRPr="00403DF5" w:rsidRDefault="00E86A7E" w:rsidP="00E86A7E">
      <w:pPr>
        <w:pStyle w:val="BodyText"/>
        <w:widowControl/>
        <w:spacing w:before="120" w:after="240"/>
        <w:ind w:left="493" w:right="153"/>
        <w:jc w:val="both"/>
        <w:rPr>
          <w:rFonts w:ascii="Arial" w:hAnsi="Arial" w:cs="Arial"/>
          <w:b/>
          <w:bCs/>
          <w:color w:val="000000"/>
          <w:sz w:val="22"/>
          <w:szCs w:val="22"/>
          <w:lang w:val="en-ZA"/>
        </w:rPr>
      </w:pPr>
      <w:r w:rsidRPr="00403DF5">
        <w:rPr>
          <w:rFonts w:ascii="Arial" w:hAnsi="Arial" w:cs="Arial"/>
          <w:color w:val="000000"/>
          <w:sz w:val="22"/>
          <w:szCs w:val="22"/>
          <w:lang w:val="en-ZA"/>
        </w:rPr>
        <w:t>(Main reference: Section 16 of the Value-Added Tax Act, 1991; clause 10 of the draft TALAB)</w:t>
      </w:r>
      <w:r w:rsidRPr="00403DF5">
        <w:rPr>
          <w:rFonts w:ascii="Arial" w:hAnsi="Arial" w:cs="Arial"/>
          <w:b/>
          <w:bCs/>
          <w:color w:val="000000"/>
          <w:sz w:val="22"/>
          <w:szCs w:val="22"/>
          <w:lang w:val="en-ZA"/>
        </w:rPr>
        <w:t xml:space="preserve"> </w:t>
      </w:r>
    </w:p>
    <w:p w14:paraId="386984C2" w14:textId="77777777" w:rsidR="00E86A7E" w:rsidRPr="00403DF5" w:rsidRDefault="00E86A7E" w:rsidP="00E86A7E">
      <w:pPr>
        <w:pStyle w:val="BodyText"/>
        <w:spacing w:before="360" w:after="240"/>
        <w:ind w:left="493" w:right="153"/>
        <w:jc w:val="both"/>
        <w:rPr>
          <w:rFonts w:ascii="Arial" w:hAnsi="Arial" w:cs="Arial"/>
          <w:color w:val="000000"/>
          <w:sz w:val="22"/>
          <w:szCs w:val="22"/>
          <w:lang w:val="en-ZA"/>
        </w:rPr>
      </w:pPr>
      <w:r w:rsidRPr="00403DF5">
        <w:rPr>
          <w:rFonts w:ascii="Arial" w:hAnsi="Arial" w:cs="Arial"/>
          <w:i/>
          <w:iCs/>
          <w:color w:val="000000"/>
          <w:sz w:val="22"/>
          <w:szCs w:val="22"/>
          <w:lang w:val="en-ZA"/>
        </w:rPr>
        <w:t>Comment:</w:t>
      </w:r>
      <w:r w:rsidRPr="00403DF5">
        <w:rPr>
          <w:rFonts w:ascii="Arial" w:hAnsi="Arial" w:cs="Arial"/>
          <w:color w:val="000000"/>
          <w:sz w:val="22"/>
          <w:szCs w:val="22"/>
          <w:lang w:val="en-ZA"/>
        </w:rPr>
        <w:t xml:space="preserve"> Given that section 7(1)</w:t>
      </w:r>
      <w:r w:rsidRPr="00403DF5">
        <w:rPr>
          <w:rFonts w:ascii="Arial" w:hAnsi="Arial" w:cs="Arial"/>
          <w:i/>
          <w:iCs/>
          <w:color w:val="000000"/>
          <w:sz w:val="22"/>
          <w:szCs w:val="22"/>
          <w:lang w:val="en-ZA"/>
        </w:rPr>
        <w:t>(c)</w:t>
      </w:r>
      <w:r w:rsidRPr="00403DF5">
        <w:rPr>
          <w:rFonts w:ascii="Arial" w:hAnsi="Arial" w:cs="Arial"/>
          <w:color w:val="000000"/>
          <w:sz w:val="22"/>
          <w:szCs w:val="22"/>
          <w:lang w:val="en-ZA"/>
        </w:rPr>
        <w:t xml:space="preserve"> contains a self-assessment requirement, it is proposed that the word “levied” instead of “charged” should be used, in line with the wording used in section 7(1) of the Value-Added Tax Act and to avoid confusion where no VAT was actually “charged” to the vendor by </w:t>
      </w:r>
      <w:r w:rsidRPr="00403DF5">
        <w:rPr>
          <w:rFonts w:ascii="Arial" w:hAnsi="Arial" w:cs="Arial"/>
          <w:i/>
          <w:iCs/>
          <w:color w:val="000000"/>
          <w:sz w:val="22"/>
          <w:szCs w:val="22"/>
          <w:lang w:val="en-ZA"/>
        </w:rPr>
        <w:t>anyone</w:t>
      </w:r>
      <w:r w:rsidRPr="00403DF5">
        <w:rPr>
          <w:rFonts w:ascii="Arial" w:hAnsi="Arial" w:cs="Arial"/>
          <w:color w:val="000000"/>
          <w:sz w:val="22"/>
          <w:szCs w:val="22"/>
          <w:lang w:val="en-ZA"/>
        </w:rPr>
        <w:t xml:space="preserve">. </w:t>
      </w:r>
    </w:p>
    <w:p w14:paraId="4316CDCF" w14:textId="77777777" w:rsidR="00E86A7E" w:rsidRPr="00403DF5" w:rsidRDefault="00E86A7E" w:rsidP="00E86A7E">
      <w:pPr>
        <w:pStyle w:val="BodyText"/>
        <w:spacing w:before="240" w:after="240"/>
        <w:ind w:left="831" w:right="152"/>
        <w:jc w:val="both"/>
        <w:rPr>
          <w:rFonts w:ascii="Arial" w:hAnsi="Arial" w:cs="Arial"/>
          <w:color w:val="000000"/>
          <w:sz w:val="22"/>
          <w:szCs w:val="22"/>
          <w:lang w:val="en-ZA"/>
        </w:rPr>
      </w:pPr>
      <w:r w:rsidRPr="00403DF5">
        <w:rPr>
          <w:rFonts w:ascii="Arial" w:hAnsi="Arial" w:cs="Arial"/>
          <w:i/>
          <w:iCs/>
          <w:color w:val="000000"/>
          <w:sz w:val="22"/>
          <w:szCs w:val="22"/>
          <w:lang w:val="en-ZA"/>
        </w:rPr>
        <w:t>Response</w:t>
      </w:r>
      <w:r w:rsidRPr="00403DF5">
        <w:rPr>
          <w:rFonts w:ascii="Arial" w:hAnsi="Arial" w:cs="Arial"/>
          <w:color w:val="000000"/>
          <w:sz w:val="22"/>
          <w:szCs w:val="22"/>
          <w:lang w:val="en-ZA"/>
        </w:rPr>
        <w:t xml:space="preserve">: </w:t>
      </w:r>
      <w:r w:rsidRPr="00403DF5">
        <w:rPr>
          <w:rFonts w:ascii="Arial" w:hAnsi="Arial" w:cs="Arial"/>
          <w:color w:val="000000"/>
          <w:sz w:val="22"/>
          <w:szCs w:val="22"/>
          <w:u w:val="single"/>
          <w:lang w:val="en-ZA"/>
        </w:rPr>
        <w:t>Accepted.</w:t>
      </w:r>
      <w:r w:rsidRPr="00403DF5">
        <w:rPr>
          <w:rFonts w:ascii="Arial" w:hAnsi="Arial" w:cs="Arial"/>
          <w:color w:val="000000"/>
          <w:sz w:val="22"/>
          <w:szCs w:val="22"/>
          <w:lang w:val="en-ZA"/>
        </w:rPr>
        <w:t xml:space="preserve"> The wording has been amended as proposed.</w:t>
      </w:r>
    </w:p>
    <w:p w14:paraId="5CE2550A" w14:textId="77777777" w:rsidR="00E86A7E" w:rsidRPr="00403DF5" w:rsidRDefault="00E86A7E" w:rsidP="00403DF5">
      <w:pPr>
        <w:pStyle w:val="Heading3"/>
        <w:numPr>
          <w:ilvl w:val="1"/>
          <w:numId w:val="37"/>
        </w:numPr>
        <w:tabs>
          <w:tab w:val="left" w:pos="1134"/>
        </w:tabs>
        <w:spacing w:before="360" w:after="120"/>
        <w:ind w:left="993" w:right="153" w:hanging="567"/>
        <w:jc w:val="both"/>
        <w:rPr>
          <w:sz w:val="22"/>
          <w:szCs w:val="22"/>
          <w:lang w:val="en-ZA"/>
        </w:rPr>
      </w:pPr>
      <w:bookmarkStart w:id="163" w:name="_Toc180420399"/>
      <w:bookmarkStart w:id="164" w:name="_Toc189212150"/>
      <w:r w:rsidRPr="00403DF5">
        <w:rPr>
          <w:sz w:val="22"/>
          <w:szCs w:val="22"/>
          <w:lang w:val="en-ZA"/>
        </w:rPr>
        <w:t>Non-resident vendors with no or a limited physical presence in South Africa</w:t>
      </w:r>
      <w:bookmarkEnd w:id="163"/>
      <w:bookmarkEnd w:id="164"/>
    </w:p>
    <w:p w14:paraId="71E54E7A" w14:textId="77777777" w:rsidR="00E86A7E" w:rsidRPr="00403DF5" w:rsidRDefault="00E86A7E" w:rsidP="00E86A7E">
      <w:pPr>
        <w:pStyle w:val="BodyText"/>
        <w:spacing w:before="120" w:after="240"/>
        <w:ind w:left="493" w:right="153"/>
        <w:jc w:val="both"/>
        <w:rPr>
          <w:rFonts w:ascii="Arial" w:hAnsi="Arial" w:cs="Arial"/>
          <w:b/>
          <w:bCs/>
          <w:color w:val="000000"/>
          <w:sz w:val="22"/>
          <w:szCs w:val="22"/>
          <w:lang w:val="en-ZA"/>
        </w:rPr>
      </w:pPr>
      <w:r w:rsidRPr="00403DF5">
        <w:rPr>
          <w:rFonts w:ascii="Arial" w:hAnsi="Arial" w:cs="Arial"/>
          <w:color w:val="000000"/>
          <w:sz w:val="22"/>
          <w:szCs w:val="22"/>
          <w:lang w:val="en-ZA"/>
        </w:rPr>
        <w:t>(Main reference: Sections 23, 44 and 46 of the Value-Added Tax Act, 1991; clauses 11, 12 and 13 of the draft TALAB)</w:t>
      </w:r>
      <w:r w:rsidRPr="00403DF5">
        <w:rPr>
          <w:rFonts w:ascii="Arial" w:hAnsi="Arial" w:cs="Arial"/>
          <w:b/>
          <w:bCs/>
          <w:color w:val="000000"/>
          <w:sz w:val="22"/>
          <w:szCs w:val="22"/>
          <w:lang w:val="en-ZA"/>
        </w:rPr>
        <w:t xml:space="preserve"> </w:t>
      </w:r>
    </w:p>
    <w:p w14:paraId="0500831A" w14:textId="77777777" w:rsidR="00E86A7E" w:rsidRPr="00403DF5" w:rsidRDefault="00E86A7E" w:rsidP="00E86A7E">
      <w:pPr>
        <w:pStyle w:val="BodyText"/>
        <w:spacing w:before="360" w:after="240"/>
        <w:ind w:left="493" w:right="153"/>
        <w:jc w:val="both"/>
        <w:rPr>
          <w:rFonts w:ascii="Arial" w:hAnsi="Arial" w:cs="Arial"/>
          <w:color w:val="000000"/>
          <w:sz w:val="22"/>
          <w:szCs w:val="22"/>
          <w:lang w:val="en-ZA"/>
        </w:rPr>
      </w:pPr>
      <w:r w:rsidRPr="00403DF5">
        <w:rPr>
          <w:rFonts w:ascii="Arial" w:hAnsi="Arial" w:cs="Arial"/>
          <w:i/>
          <w:iCs/>
          <w:color w:val="000000"/>
          <w:sz w:val="22"/>
          <w:szCs w:val="22"/>
          <w:lang w:val="en-ZA"/>
        </w:rPr>
        <w:t>Comment:</w:t>
      </w:r>
      <w:r w:rsidRPr="00403DF5">
        <w:rPr>
          <w:rFonts w:ascii="Arial" w:hAnsi="Arial" w:cs="Arial"/>
          <w:color w:val="000000"/>
          <w:sz w:val="22"/>
          <w:szCs w:val="22"/>
          <w:lang w:val="en-ZA"/>
        </w:rPr>
        <w:t xml:space="preserve"> The proposed amendments to section 23 are intended to ease the administrative burden of opening a South African banking account for certain vendors that typically do not have a sufficient or any physical presence in South Africa. Whilst we do not comment on the proposed amendment to section 23, it seemingly contradicts the proposed amendment to section 44(3)</w:t>
      </w:r>
      <w:r w:rsidRPr="00403DF5">
        <w:rPr>
          <w:rFonts w:ascii="Arial" w:hAnsi="Arial" w:cs="Arial"/>
          <w:i/>
          <w:iCs/>
          <w:color w:val="000000"/>
          <w:sz w:val="22"/>
          <w:szCs w:val="22"/>
          <w:lang w:val="en-ZA"/>
        </w:rPr>
        <w:t>(d)</w:t>
      </w:r>
      <w:r w:rsidRPr="00403DF5">
        <w:rPr>
          <w:rFonts w:ascii="Arial" w:hAnsi="Arial" w:cs="Arial"/>
          <w:color w:val="000000"/>
          <w:sz w:val="22"/>
          <w:szCs w:val="22"/>
          <w:lang w:val="en-ZA"/>
        </w:rPr>
        <w:t xml:space="preserve"> which seeks to insert the wording “in the Republic”. </w:t>
      </w:r>
    </w:p>
    <w:p w14:paraId="7FB23BC2" w14:textId="77777777" w:rsidR="00E86A7E" w:rsidRPr="00403DF5" w:rsidRDefault="00E86A7E" w:rsidP="00E86A7E">
      <w:pPr>
        <w:pStyle w:val="BodyText"/>
        <w:spacing w:before="360" w:after="240"/>
        <w:ind w:left="493" w:right="153"/>
        <w:jc w:val="both"/>
        <w:rPr>
          <w:rFonts w:ascii="Arial" w:hAnsi="Arial" w:cs="Arial"/>
          <w:color w:val="000000"/>
          <w:sz w:val="22"/>
          <w:szCs w:val="22"/>
          <w:lang w:val="en-ZA"/>
        </w:rPr>
      </w:pPr>
      <w:r w:rsidRPr="00403DF5">
        <w:rPr>
          <w:rFonts w:ascii="Arial" w:hAnsi="Arial" w:cs="Arial"/>
          <w:color w:val="000000"/>
          <w:sz w:val="22"/>
          <w:szCs w:val="22"/>
          <w:lang w:val="en-ZA"/>
        </w:rPr>
        <w:t xml:space="preserve">The aforesaid insertion will prevent the Commissioner from making a refund payment unless the vendor has furnished the Commissioner in writing with the particulars of the enterprise’s banking account or account with a similar institution “in the Republic”. </w:t>
      </w:r>
    </w:p>
    <w:p w14:paraId="73AB6DF8" w14:textId="77777777" w:rsidR="00E86A7E" w:rsidRPr="00403DF5" w:rsidRDefault="00E86A7E" w:rsidP="00E86A7E">
      <w:pPr>
        <w:pStyle w:val="BodyText"/>
        <w:spacing w:before="360" w:after="240"/>
        <w:ind w:left="493" w:right="153"/>
        <w:jc w:val="both"/>
        <w:rPr>
          <w:rFonts w:ascii="Arial" w:hAnsi="Arial" w:cs="Arial"/>
          <w:color w:val="000000"/>
          <w:sz w:val="22"/>
          <w:szCs w:val="22"/>
          <w:lang w:val="en-ZA"/>
        </w:rPr>
      </w:pPr>
      <w:r w:rsidRPr="00403DF5">
        <w:rPr>
          <w:rFonts w:ascii="Arial" w:hAnsi="Arial" w:cs="Arial"/>
          <w:color w:val="000000"/>
          <w:sz w:val="22"/>
          <w:szCs w:val="22"/>
          <w:lang w:val="en-ZA"/>
        </w:rPr>
        <w:t>For example, this will affect electronic services providers who occasionally incur expenses in South Africa in relation to their taxable enterprise activities and who are therefore entitled to VAT refunds, notwithstanding that they do not have a physical presence in South Africa.</w:t>
      </w:r>
    </w:p>
    <w:p w14:paraId="12A6C3E6" w14:textId="77777777" w:rsidR="00E86A7E" w:rsidRPr="00403DF5" w:rsidRDefault="00E86A7E" w:rsidP="00E86A7E">
      <w:pPr>
        <w:pStyle w:val="BodyText"/>
        <w:spacing w:before="360" w:after="240"/>
        <w:ind w:left="493" w:right="153"/>
        <w:jc w:val="both"/>
        <w:rPr>
          <w:rFonts w:ascii="Arial" w:hAnsi="Arial" w:cs="Arial"/>
          <w:color w:val="000000"/>
          <w:sz w:val="22"/>
          <w:szCs w:val="22"/>
          <w:lang w:val="en-ZA"/>
        </w:rPr>
      </w:pPr>
      <w:r w:rsidRPr="00403DF5">
        <w:rPr>
          <w:rFonts w:ascii="Arial" w:hAnsi="Arial" w:cs="Arial"/>
          <w:color w:val="000000"/>
          <w:sz w:val="22"/>
          <w:szCs w:val="22"/>
          <w:lang w:val="en-ZA"/>
        </w:rPr>
        <w:t>It is consequently proposed that no change be made to the current wording of section 44(3)</w:t>
      </w:r>
      <w:r w:rsidRPr="00403DF5">
        <w:rPr>
          <w:rFonts w:ascii="Arial" w:hAnsi="Arial" w:cs="Arial"/>
          <w:i/>
          <w:iCs/>
          <w:color w:val="000000"/>
          <w:sz w:val="22"/>
          <w:szCs w:val="22"/>
          <w:lang w:val="en-ZA"/>
        </w:rPr>
        <w:t>(d)</w:t>
      </w:r>
      <w:r w:rsidRPr="00403DF5">
        <w:rPr>
          <w:rFonts w:ascii="Arial" w:hAnsi="Arial" w:cs="Arial"/>
          <w:color w:val="000000"/>
          <w:sz w:val="22"/>
          <w:szCs w:val="22"/>
          <w:lang w:val="en-ZA"/>
        </w:rPr>
        <w:t xml:space="preserve">. </w:t>
      </w:r>
    </w:p>
    <w:p w14:paraId="22B60B53" w14:textId="77777777" w:rsidR="00E86A7E" w:rsidRPr="00403DF5" w:rsidRDefault="00E86A7E" w:rsidP="00E86A7E">
      <w:pPr>
        <w:pStyle w:val="BodyText"/>
        <w:spacing w:before="240" w:after="240"/>
        <w:ind w:left="831" w:right="152"/>
        <w:jc w:val="both"/>
        <w:rPr>
          <w:rFonts w:ascii="Arial" w:hAnsi="Arial" w:cs="Arial"/>
          <w:color w:val="000000"/>
          <w:sz w:val="22"/>
          <w:szCs w:val="22"/>
          <w:lang w:val="en-ZA"/>
        </w:rPr>
      </w:pPr>
      <w:r w:rsidRPr="00403DF5">
        <w:rPr>
          <w:rFonts w:ascii="Arial" w:hAnsi="Arial" w:cs="Arial"/>
          <w:i/>
          <w:iCs/>
          <w:color w:val="000000"/>
          <w:sz w:val="22"/>
          <w:szCs w:val="22"/>
          <w:lang w:val="en-ZA"/>
        </w:rPr>
        <w:t xml:space="preserve">Response: </w:t>
      </w:r>
      <w:r w:rsidRPr="00403DF5">
        <w:rPr>
          <w:rFonts w:ascii="Arial" w:hAnsi="Arial" w:cs="Arial"/>
          <w:color w:val="000000"/>
          <w:sz w:val="22"/>
          <w:szCs w:val="22"/>
          <w:u w:val="single"/>
          <w:lang w:val="en-ZA"/>
        </w:rPr>
        <w:t>Not accepted.</w:t>
      </w:r>
      <w:r w:rsidRPr="00403DF5">
        <w:rPr>
          <w:rFonts w:ascii="Arial" w:hAnsi="Arial" w:cs="Arial"/>
          <w:color w:val="000000"/>
          <w:sz w:val="22"/>
          <w:szCs w:val="22"/>
          <w:lang w:val="en-ZA"/>
        </w:rPr>
        <w:t xml:space="preserve"> </w:t>
      </w:r>
      <w:r w:rsidRPr="00403DF5">
        <w:rPr>
          <w:rFonts w:ascii="Arial" w:hAnsi="Arial" w:cs="Arial"/>
          <w:color w:val="000000"/>
          <w:sz w:val="22"/>
          <w:szCs w:val="22"/>
          <w:u w:val="single"/>
          <w:lang w:val="en-ZA"/>
        </w:rPr>
        <w:t>Not accepted.</w:t>
      </w:r>
      <w:r w:rsidRPr="00403DF5">
        <w:rPr>
          <w:rFonts w:ascii="Arial" w:hAnsi="Arial" w:cs="Arial"/>
          <w:color w:val="000000"/>
          <w:sz w:val="22"/>
          <w:szCs w:val="22"/>
          <w:lang w:val="en-ZA"/>
        </w:rPr>
        <w:t xml:space="preserve"> If a vendor has sufficient business presence in South Africa to generate VAT refunds, it is appropriate for that vendor to open a South African bank account and be subject to the normal Know Your Client procedures in South Africa. </w:t>
      </w:r>
    </w:p>
    <w:p w14:paraId="3CDD2E8B" w14:textId="77777777" w:rsidR="00E86A7E" w:rsidRPr="003F111D" w:rsidRDefault="00E86A7E" w:rsidP="00E86A7E">
      <w:pPr>
        <w:pStyle w:val="BodyText"/>
        <w:spacing w:before="360" w:after="240"/>
        <w:ind w:left="493" w:right="153"/>
        <w:jc w:val="both"/>
        <w:rPr>
          <w:rFonts w:ascii="Arial" w:hAnsi="Arial" w:cs="Arial"/>
          <w:color w:val="000000"/>
          <w:lang w:val="en-ZA"/>
        </w:rPr>
      </w:pPr>
      <w:r w:rsidRPr="00403DF5">
        <w:rPr>
          <w:rFonts w:ascii="Arial" w:hAnsi="Arial" w:cs="Arial"/>
          <w:i/>
          <w:iCs/>
          <w:color w:val="000000"/>
          <w:sz w:val="22"/>
          <w:szCs w:val="22"/>
          <w:lang w:val="en-ZA"/>
        </w:rPr>
        <w:t>Comment:</w:t>
      </w:r>
      <w:r w:rsidRPr="00403DF5">
        <w:rPr>
          <w:rFonts w:ascii="Arial" w:hAnsi="Arial" w:cs="Arial"/>
          <w:color w:val="000000"/>
          <w:sz w:val="22"/>
          <w:szCs w:val="22"/>
          <w:lang w:val="en-ZA"/>
        </w:rPr>
        <w:t xml:space="preserve"> The proposed amendment to section 46 of the Value-Added Tax Act, does not seem to envisage any causality as it relates to the receipt and payments of monies and funds from or to South Africa on behalf of the non-resident and therefore will include any person with such role as relates to countries other than RSA</w:t>
      </w:r>
      <w:r w:rsidRPr="003F111D">
        <w:rPr>
          <w:rFonts w:ascii="Arial" w:hAnsi="Arial" w:cs="Arial"/>
          <w:color w:val="000000"/>
          <w:lang w:val="en-ZA"/>
        </w:rPr>
        <w:t xml:space="preserve">. </w:t>
      </w:r>
    </w:p>
    <w:p w14:paraId="0C4F579A" w14:textId="77777777" w:rsidR="00E86A7E" w:rsidRPr="003F111D" w:rsidRDefault="00E86A7E" w:rsidP="00E86A7E">
      <w:pPr>
        <w:pStyle w:val="BodyText"/>
        <w:spacing w:before="360" w:after="240"/>
        <w:ind w:left="493" w:right="153"/>
        <w:jc w:val="both"/>
        <w:rPr>
          <w:rFonts w:ascii="Arial" w:hAnsi="Arial" w:cs="Arial"/>
          <w:color w:val="000000"/>
          <w:lang w:val="en-ZA"/>
        </w:rPr>
      </w:pPr>
      <w:r w:rsidRPr="00403DF5">
        <w:rPr>
          <w:rFonts w:ascii="Arial" w:hAnsi="Arial" w:cs="Arial"/>
          <w:color w:val="000000"/>
          <w:sz w:val="22"/>
          <w:szCs w:val="22"/>
          <w:lang w:val="en-ZA"/>
        </w:rPr>
        <w:t>To ensure proper jurisdiction and causality, as relates to such an onerous obligation, it is submitted that only persons who receive and make payments of monies or funds on behalf of the person as relates to its South African activities, should be included in this provision</w:t>
      </w:r>
      <w:r w:rsidRPr="003F111D">
        <w:rPr>
          <w:rFonts w:ascii="Arial" w:hAnsi="Arial" w:cs="Arial"/>
          <w:color w:val="000000"/>
          <w:lang w:val="en-ZA"/>
        </w:rPr>
        <w:t xml:space="preserve">. </w:t>
      </w:r>
    </w:p>
    <w:p w14:paraId="5AE05EE6" w14:textId="77777777" w:rsidR="00E86A7E" w:rsidRPr="003F111D" w:rsidRDefault="00E86A7E" w:rsidP="00E86A7E">
      <w:pPr>
        <w:pStyle w:val="BodyText"/>
        <w:spacing w:before="240" w:after="240"/>
        <w:ind w:left="831" w:right="152"/>
        <w:jc w:val="both"/>
        <w:rPr>
          <w:rFonts w:ascii="Arial" w:hAnsi="Arial" w:cs="Arial"/>
          <w:color w:val="000000"/>
          <w:lang w:val="en-ZA"/>
        </w:rPr>
      </w:pPr>
      <w:r w:rsidRPr="00403DF5">
        <w:rPr>
          <w:rFonts w:ascii="Arial" w:hAnsi="Arial" w:cs="Arial"/>
          <w:i/>
          <w:iCs/>
          <w:color w:val="000000"/>
          <w:sz w:val="22"/>
          <w:szCs w:val="22"/>
          <w:lang w:val="en-ZA"/>
        </w:rPr>
        <w:t xml:space="preserve">Response: </w:t>
      </w:r>
      <w:r w:rsidRPr="00403DF5">
        <w:rPr>
          <w:rFonts w:ascii="Arial" w:hAnsi="Arial" w:cs="Arial"/>
          <w:color w:val="000000"/>
          <w:sz w:val="22"/>
          <w:szCs w:val="22"/>
          <w:u w:val="single"/>
          <w:lang w:val="en-ZA"/>
        </w:rPr>
        <w:t>Accepted</w:t>
      </w:r>
      <w:r w:rsidRPr="00403DF5">
        <w:rPr>
          <w:rFonts w:ascii="Arial" w:hAnsi="Arial" w:cs="Arial"/>
          <w:color w:val="000000"/>
          <w:sz w:val="22"/>
          <w:szCs w:val="22"/>
          <w:lang w:val="en-ZA"/>
        </w:rPr>
        <w:t xml:space="preserve">. The proposed amendment has been amended to clarify that only persons responsible for accounting for the receipt and payment of monies or funds in respect of any enterprise of the non-resident vendor </w:t>
      </w:r>
      <w:r w:rsidRPr="00403DF5">
        <w:rPr>
          <w:rFonts w:ascii="Arial" w:hAnsi="Arial" w:cs="Arial"/>
          <w:i/>
          <w:iCs/>
          <w:color w:val="000000"/>
          <w:sz w:val="22"/>
          <w:szCs w:val="22"/>
          <w:lang w:val="en-ZA"/>
        </w:rPr>
        <w:t>in the Republic</w:t>
      </w:r>
      <w:r w:rsidRPr="00403DF5">
        <w:rPr>
          <w:rFonts w:ascii="Arial" w:hAnsi="Arial" w:cs="Arial"/>
          <w:color w:val="000000"/>
          <w:sz w:val="22"/>
          <w:szCs w:val="22"/>
          <w:lang w:val="en-ZA"/>
        </w:rPr>
        <w:t xml:space="preserve"> will be the natural person responsible for the duties imposed on the non-resident vendor under the Value-Added Tax Act</w:t>
      </w:r>
      <w:r w:rsidRPr="003F111D">
        <w:rPr>
          <w:rFonts w:ascii="Arial" w:hAnsi="Arial" w:cs="Arial"/>
          <w:color w:val="000000"/>
          <w:lang w:val="en-ZA"/>
        </w:rPr>
        <w:t>.</w:t>
      </w:r>
    </w:p>
    <w:p w14:paraId="6CA580FB" w14:textId="77777777" w:rsidR="00E86A7E" w:rsidRPr="00403DF5" w:rsidRDefault="00E86A7E" w:rsidP="00403DF5">
      <w:pPr>
        <w:pStyle w:val="Heading3"/>
        <w:numPr>
          <w:ilvl w:val="1"/>
          <w:numId w:val="37"/>
        </w:numPr>
        <w:tabs>
          <w:tab w:val="left" w:pos="1134"/>
        </w:tabs>
        <w:spacing w:before="360" w:after="120"/>
        <w:ind w:left="993" w:right="153" w:hanging="567"/>
        <w:jc w:val="both"/>
        <w:rPr>
          <w:sz w:val="22"/>
          <w:szCs w:val="22"/>
          <w:lang w:val="en-ZA"/>
        </w:rPr>
      </w:pPr>
      <w:bookmarkStart w:id="165" w:name="_Toc180420400"/>
      <w:bookmarkStart w:id="166" w:name="_Toc189212151"/>
      <w:r w:rsidRPr="00403DF5">
        <w:rPr>
          <w:sz w:val="22"/>
          <w:szCs w:val="22"/>
          <w:lang w:val="en-ZA"/>
        </w:rPr>
        <w:t>Implementing the Constitutional Court judgment regarding tax records access</w:t>
      </w:r>
      <w:bookmarkEnd w:id="165"/>
      <w:bookmarkEnd w:id="166"/>
    </w:p>
    <w:p w14:paraId="24521ED0" w14:textId="77777777" w:rsidR="00E86A7E" w:rsidRPr="00403DF5" w:rsidRDefault="00E86A7E" w:rsidP="00E86A7E">
      <w:pPr>
        <w:pStyle w:val="BodyText"/>
        <w:spacing w:before="120" w:after="240"/>
        <w:ind w:left="493" w:right="153"/>
        <w:jc w:val="both"/>
        <w:rPr>
          <w:rFonts w:ascii="Arial" w:hAnsi="Arial" w:cs="Arial"/>
          <w:b/>
          <w:bCs/>
          <w:color w:val="000000"/>
          <w:sz w:val="22"/>
          <w:szCs w:val="22"/>
          <w:lang w:val="en-ZA"/>
        </w:rPr>
      </w:pPr>
      <w:r w:rsidRPr="00403DF5">
        <w:rPr>
          <w:rFonts w:ascii="Arial" w:hAnsi="Arial" w:cs="Arial"/>
          <w:color w:val="000000"/>
          <w:sz w:val="22"/>
          <w:szCs w:val="22"/>
          <w:lang w:val="en-ZA"/>
        </w:rPr>
        <w:t>(Main reference: Section 46 of the Promotion of Access to Information Act, 2000; clause14 of the draft TALAB)</w:t>
      </w:r>
      <w:r w:rsidRPr="00403DF5">
        <w:rPr>
          <w:rFonts w:ascii="Arial" w:hAnsi="Arial" w:cs="Arial"/>
          <w:b/>
          <w:bCs/>
          <w:color w:val="000000"/>
          <w:sz w:val="22"/>
          <w:szCs w:val="22"/>
          <w:lang w:val="en-ZA"/>
        </w:rPr>
        <w:t xml:space="preserve"> </w:t>
      </w:r>
    </w:p>
    <w:p w14:paraId="7D74CE53" w14:textId="77777777" w:rsidR="00E86A7E" w:rsidRPr="00403DF5" w:rsidRDefault="00E86A7E" w:rsidP="00E86A7E">
      <w:pPr>
        <w:pStyle w:val="BodyText"/>
        <w:spacing w:before="360" w:after="240"/>
        <w:ind w:left="493" w:right="153"/>
        <w:jc w:val="both"/>
        <w:rPr>
          <w:rFonts w:ascii="Arial" w:hAnsi="Arial" w:cs="Arial"/>
          <w:color w:val="000000"/>
          <w:sz w:val="22"/>
          <w:szCs w:val="22"/>
          <w:lang w:val="en-ZA"/>
        </w:rPr>
      </w:pPr>
      <w:r w:rsidRPr="00403DF5">
        <w:rPr>
          <w:rFonts w:ascii="Arial" w:hAnsi="Arial" w:cs="Arial"/>
          <w:i/>
          <w:iCs/>
          <w:color w:val="000000"/>
          <w:sz w:val="22"/>
          <w:szCs w:val="22"/>
          <w:lang w:val="en-ZA"/>
        </w:rPr>
        <w:t>Comment:</w:t>
      </w:r>
      <w:r w:rsidRPr="00403DF5">
        <w:rPr>
          <w:rFonts w:ascii="Arial" w:hAnsi="Arial" w:cs="Arial"/>
          <w:color w:val="000000"/>
          <w:sz w:val="22"/>
          <w:szCs w:val="22"/>
          <w:lang w:val="en-ZA"/>
        </w:rPr>
        <w:t xml:space="preserve"> Though we note the pragmatic approach of amending PAIA in the draft Bill, following the </w:t>
      </w:r>
      <w:r w:rsidRPr="00403DF5">
        <w:rPr>
          <w:rFonts w:ascii="Arial" w:hAnsi="Arial" w:cs="Arial"/>
          <w:i/>
          <w:iCs/>
          <w:color w:val="000000"/>
          <w:sz w:val="22"/>
          <w:szCs w:val="22"/>
          <w:lang w:val="en-ZA"/>
        </w:rPr>
        <w:t xml:space="preserve">Arena </w:t>
      </w:r>
      <w:r w:rsidRPr="00403DF5">
        <w:rPr>
          <w:rFonts w:ascii="Arial" w:hAnsi="Arial" w:cs="Arial"/>
          <w:color w:val="000000"/>
          <w:sz w:val="22"/>
          <w:szCs w:val="22"/>
          <w:lang w:val="en-ZA"/>
        </w:rPr>
        <w:t xml:space="preserve">case, it is noted that the “executive custodian” of this legislation is the Department of Justice and that the Portfolio Committee of Justice and Constitutional Development should invariably also review any amendments to PAIA. PAIA is a “Constitutional statute”, and the TAA is not and therefore the TAA is invariably subordinate to PAIA. </w:t>
      </w:r>
    </w:p>
    <w:p w14:paraId="051C5246" w14:textId="77777777" w:rsidR="00E86A7E" w:rsidRPr="00403DF5" w:rsidRDefault="00E86A7E" w:rsidP="00E86A7E">
      <w:pPr>
        <w:pStyle w:val="BodyText"/>
        <w:spacing w:before="240" w:after="240"/>
        <w:ind w:left="831" w:right="152"/>
        <w:jc w:val="both"/>
        <w:rPr>
          <w:rFonts w:ascii="Arial" w:hAnsi="Arial" w:cs="Arial"/>
          <w:color w:val="000000"/>
          <w:sz w:val="22"/>
          <w:szCs w:val="22"/>
          <w:lang w:val="en-ZA"/>
        </w:rPr>
      </w:pPr>
      <w:r w:rsidRPr="00403DF5">
        <w:rPr>
          <w:rFonts w:ascii="Arial" w:hAnsi="Arial" w:cs="Arial"/>
          <w:i/>
          <w:iCs/>
          <w:color w:val="000000"/>
          <w:sz w:val="22"/>
          <w:szCs w:val="22"/>
          <w:lang w:val="en-ZA"/>
        </w:rPr>
        <w:t>Response:</w:t>
      </w:r>
      <w:r w:rsidRPr="00403DF5">
        <w:rPr>
          <w:rFonts w:ascii="Arial" w:hAnsi="Arial" w:cs="Arial"/>
          <w:color w:val="000000"/>
          <w:sz w:val="22"/>
          <w:szCs w:val="22"/>
          <w:lang w:val="en-ZA"/>
        </w:rPr>
        <w:t xml:space="preserve"> </w:t>
      </w:r>
      <w:r w:rsidRPr="00403DF5">
        <w:rPr>
          <w:rFonts w:ascii="Arial" w:hAnsi="Arial" w:cs="Arial"/>
          <w:color w:val="000000"/>
          <w:sz w:val="22"/>
          <w:szCs w:val="22"/>
          <w:u w:val="single"/>
          <w:lang w:val="en-ZA"/>
        </w:rPr>
        <w:t>Noted</w:t>
      </w:r>
      <w:r w:rsidRPr="00403DF5">
        <w:rPr>
          <w:rFonts w:ascii="Arial" w:hAnsi="Arial" w:cs="Arial"/>
          <w:color w:val="000000"/>
          <w:sz w:val="22"/>
          <w:szCs w:val="22"/>
          <w:lang w:val="en-ZA"/>
        </w:rPr>
        <w:t>. There was consultation with the Minister of Justice and Constitutional Development prior to including the proposed amendment in the draft Tax Administration Laws Amendment Bill, 2024, released for public comment. The amendment has been withdrawn as it will be included in an omnibus Bill to be introduced by the Minister of Justice and Constitutional Development.</w:t>
      </w:r>
    </w:p>
    <w:p w14:paraId="2A8CEE52" w14:textId="77777777" w:rsidR="00E86A7E" w:rsidRPr="00403DF5" w:rsidRDefault="00E86A7E" w:rsidP="00403DF5">
      <w:pPr>
        <w:pStyle w:val="Heading3"/>
        <w:numPr>
          <w:ilvl w:val="1"/>
          <w:numId w:val="37"/>
        </w:numPr>
        <w:tabs>
          <w:tab w:val="left" w:pos="1134"/>
        </w:tabs>
        <w:spacing w:before="360" w:after="120"/>
        <w:ind w:left="993" w:right="153" w:hanging="567"/>
        <w:jc w:val="both"/>
        <w:rPr>
          <w:sz w:val="22"/>
          <w:szCs w:val="22"/>
          <w:lang w:val="en-ZA"/>
        </w:rPr>
      </w:pPr>
      <w:bookmarkStart w:id="167" w:name="_Toc180420401"/>
      <w:bookmarkStart w:id="168" w:name="_Toc189212152"/>
      <w:r w:rsidRPr="00403DF5">
        <w:rPr>
          <w:sz w:val="22"/>
          <w:szCs w:val="22"/>
          <w:lang w:val="en-ZA"/>
        </w:rPr>
        <w:t>Right of appearance of SARS officials and natural persons appearing on behalf of the taxpayer and provision for cost orders in favour of SARS</w:t>
      </w:r>
      <w:bookmarkEnd w:id="167"/>
      <w:bookmarkEnd w:id="168"/>
    </w:p>
    <w:p w14:paraId="7B9F7DAD" w14:textId="77777777" w:rsidR="00E86A7E" w:rsidRPr="00403DF5" w:rsidRDefault="00E86A7E" w:rsidP="00E86A7E">
      <w:pPr>
        <w:pStyle w:val="BodyText"/>
        <w:spacing w:before="120" w:after="240"/>
        <w:ind w:left="493" w:right="153"/>
        <w:jc w:val="both"/>
        <w:rPr>
          <w:rFonts w:ascii="Arial" w:hAnsi="Arial" w:cs="Arial"/>
          <w:b/>
          <w:bCs/>
          <w:color w:val="000000"/>
          <w:sz w:val="22"/>
          <w:szCs w:val="22"/>
          <w:lang w:val="en-ZA"/>
        </w:rPr>
      </w:pPr>
      <w:r w:rsidRPr="00403DF5">
        <w:rPr>
          <w:rFonts w:ascii="Arial" w:hAnsi="Arial" w:cs="Arial"/>
          <w:color w:val="000000"/>
          <w:sz w:val="22"/>
          <w:szCs w:val="22"/>
          <w:lang w:val="en-ZA"/>
        </w:rPr>
        <w:t>(Main reference: Section 12 of the Tax Administration Act, 2011; clause15 of the draft TALAB)</w:t>
      </w:r>
      <w:r w:rsidRPr="00403DF5">
        <w:rPr>
          <w:rFonts w:ascii="Arial" w:hAnsi="Arial" w:cs="Arial"/>
          <w:b/>
          <w:bCs/>
          <w:color w:val="000000"/>
          <w:sz w:val="22"/>
          <w:szCs w:val="22"/>
          <w:lang w:val="en-ZA"/>
        </w:rPr>
        <w:t xml:space="preserve"> </w:t>
      </w:r>
    </w:p>
    <w:p w14:paraId="30A55766" w14:textId="77777777" w:rsidR="00E86A7E" w:rsidRPr="00403DF5" w:rsidRDefault="00E86A7E" w:rsidP="00E86A7E">
      <w:pPr>
        <w:pStyle w:val="BodyText"/>
        <w:spacing w:before="360" w:after="240"/>
        <w:ind w:left="493" w:right="153"/>
        <w:jc w:val="both"/>
        <w:rPr>
          <w:rFonts w:ascii="Arial" w:hAnsi="Arial" w:cs="Arial"/>
          <w:color w:val="000000"/>
          <w:sz w:val="22"/>
          <w:szCs w:val="22"/>
          <w:lang w:val="en-ZA"/>
        </w:rPr>
      </w:pPr>
      <w:r w:rsidRPr="00403DF5">
        <w:rPr>
          <w:rFonts w:ascii="Arial" w:hAnsi="Arial" w:cs="Arial"/>
          <w:i/>
          <w:iCs/>
          <w:color w:val="000000"/>
          <w:sz w:val="22"/>
          <w:szCs w:val="22"/>
          <w:lang w:val="en-ZA"/>
        </w:rPr>
        <w:t>Comment:</w:t>
      </w:r>
      <w:r w:rsidRPr="00403DF5">
        <w:rPr>
          <w:rFonts w:ascii="Arial" w:hAnsi="Arial" w:cs="Arial"/>
          <w:color w:val="000000"/>
          <w:sz w:val="22"/>
          <w:szCs w:val="22"/>
          <w:lang w:val="en-ZA"/>
        </w:rPr>
        <w:t xml:space="preserve"> Section 12(1) was initially inserted to expand on the old section 81 of the Income Tax Act, 1962 (CSARS could only give right of appearance for tax court matters) and give SARS leeway that senior SARS officials could appear in chambers </w:t>
      </w:r>
      <w:r w:rsidRPr="00403DF5">
        <w:rPr>
          <w:rFonts w:ascii="Arial" w:hAnsi="Arial" w:cs="Arial"/>
          <w:i/>
          <w:iCs/>
          <w:color w:val="000000"/>
          <w:sz w:val="22"/>
          <w:szCs w:val="22"/>
          <w:lang w:val="en-ZA"/>
        </w:rPr>
        <w:t xml:space="preserve">ex parte </w:t>
      </w:r>
      <w:r w:rsidRPr="00403DF5">
        <w:rPr>
          <w:rFonts w:ascii="Arial" w:hAnsi="Arial" w:cs="Arial"/>
          <w:color w:val="000000"/>
          <w:sz w:val="22"/>
          <w:szCs w:val="22"/>
          <w:lang w:val="en-ZA"/>
        </w:rPr>
        <w:t xml:space="preserve">in the high court as well without having to brief a registered legal practitioner, for example, for search warrants. These would practically only be in a high court or lower court. </w:t>
      </w:r>
    </w:p>
    <w:p w14:paraId="5216C024" w14:textId="77777777" w:rsidR="00E86A7E" w:rsidRPr="00403DF5" w:rsidRDefault="00E86A7E" w:rsidP="00E86A7E">
      <w:pPr>
        <w:pStyle w:val="BodyText"/>
        <w:spacing w:before="360" w:after="240"/>
        <w:ind w:left="493" w:right="153"/>
        <w:jc w:val="both"/>
        <w:rPr>
          <w:rFonts w:ascii="Arial" w:hAnsi="Arial" w:cs="Arial"/>
          <w:color w:val="000000"/>
          <w:sz w:val="22"/>
          <w:szCs w:val="22"/>
          <w:lang w:val="en-ZA"/>
        </w:rPr>
      </w:pPr>
      <w:r w:rsidRPr="00403DF5">
        <w:rPr>
          <w:rFonts w:ascii="Arial" w:hAnsi="Arial" w:cs="Arial"/>
          <w:color w:val="000000"/>
          <w:sz w:val="22"/>
          <w:szCs w:val="22"/>
          <w:lang w:val="en-ZA"/>
        </w:rPr>
        <w:t xml:space="preserve">Section 12(2) was to specifically acknowledge that only SARS officials who legally had the right of appearance could represent SARS in actual court proceedings. </w:t>
      </w:r>
    </w:p>
    <w:p w14:paraId="4DD607FC" w14:textId="77777777" w:rsidR="00E86A7E" w:rsidRPr="00403DF5" w:rsidRDefault="00E86A7E" w:rsidP="00E86A7E">
      <w:pPr>
        <w:pStyle w:val="BodyText"/>
        <w:spacing w:before="360" w:after="240"/>
        <w:ind w:left="493" w:right="153"/>
        <w:jc w:val="both"/>
        <w:rPr>
          <w:rFonts w:ascii="Arial" w:hAnsi="Arial" w:cs="Arial"/>
          <w:color w:val="000000"/>
          <w:sz w:val="22"/>
          <w:szCs w:val="22"/>
          <w:lang w:val="en-ZA"/>
        </w:rPr>
      </w:pPr>
      <w:r w:rsidRPr="00403DF5">
        <w:rPr>
          <w:rFonts w:ascii="Arial" w:hAnsi="Arial" w:cs="Arial"/>
          <w:color w:val="000000"/>
          <w:sz w:val="22"/>
          <w:szCs w:val="22"/>
          <w:lang w:val="en-ZA"/>
        </w:rPr>
        <w:t xml:space="preserve">Given the purpose of section 12(1), it is unclear why SARS officials would need to or could appear in judge’s chambers </w:t>
      </w:r>
      <w:r w:rsidRPr="00403DF5">
        <w:rPr>
          <w:rFonts w:ascii="Arial" w:hAnsi="Arial" w:cs="Arial"/>
          <w:i/>
          <w:iCs/>
          <w:color w:val="000000"/>
          <w:sz w:val="22"/>
          <w:szCs w:val="22"/>
          <w:lang w:val="en-ZA"/>
        </w:rPr>
        <w:t xml:space="preserve">ex parte </w:t>
      </w:r>
      <w:r w:rsidRPr="00403DF5">
        <w:rPr>
          <w:rFonts w:ascii="Arial" w:hAnsi="Arial" w:cs="Arial"/>
          <w:color w:val="000000"/>
          <w:sz w:val="22"/>
          <w:szCs w:val="22"/>
          <w:lang w:val="en-ZA"/>
        </w:rPr>
        <w:t xml:space="preserve">in courts higher than the high court. This provision seems superfluous and requires Treasury to clarify which matters the SCA and Constitutional Court hear in chambers </w:t>
      </w:r>
      <w:r w:rsidRPr="00403DF5">
        <w:rPr>
          <w:rFonts w:ascii="Arial" w:hAnsi="Arial" w:cs="Arial"/>
          <w:i/>
          <w:iCs/>
          <w:color w:val="000000"/>
          <w:sz w:val="22"/>
          <w:szCs w:val="22"/>
          <w:lang w:val="en-ZA"/>
        </w:rPr>
        <w:t>ex parte</w:t>
      </w:r>
      <w:r w:rsidRPr="00403DF5">
        <w:rPr>
          <w:rFonts w:ascii="Arial" w:hAnsi="Arial" w:cs="Arial"/>
          <w:color w:val="000000"/>
          <w:sz w:val="22"/>
          <w:szCs w:val="22"/>
          <w:lang w:val="en-ZA"/>
        </w:rPr>
        <w:t xml:space="preserve">. </w:t>
      </w:r>
    </w:p>
    <w:p w14:paraId="26FD1F65" w14:textId="77777777" w:rsidR="00E86A7E" w:rsidRPr="00403DF5" w:rsidRDefault="00E86A7E" w:rsidP="00E86A7E">
      <w:pPr>
        <w:pStyle w:val="BodyText"/>
        <w:spacing w:before="240" w:after="240"/>
        <w:ind w:left="831" w:right="152"/>
        <w:jc w:val="both"/>
        <w:rPr>
          <w:rFonts w:ascii="Arial" w:hAnsi="Arial" w:cs="Arial"/>
          <w:color w:val="000000"/>
          <w:sz w:val="22"/>
          <w:szCs w:val="22"/>
          <w:lang w:val="en-ZA"/>
        </w:rPr>
      </w:pPr>
      <w:r w:rsidRPr="00403DF5">
        <w:rPr>
          <w:rFonts w:ascii="Arial" w:hAnsi="Arial" w:cs="Arial"/>
          <w:i/>
          <w:iCs/>
          <w:color w:val="000000"/>
          <w:sz w:val="22"/>
          <w:szCs w:val="22"/>
          <w:lang w:val="en-ZA"/>
        </w:rPr>
        <w:t>Response:</w:t>
      </w:r>
      <w:r w:rsidRPr="00403DF5">
        <w:rPr>
          <w:rFonts w:ascii="Arial" w:hAnsi="Arial" w:cs="Arial"/>
          <w:color w:val="000000"/>
          <w:sz w:val="22"/>
          <w:szCs w:val="22"/>
          <w:lang w:val="en-ZA"/>
        </w:rPr>
        <w:t xml:space="preserve"> </w:t>
      </w:r>
      <w:r w:rsidRPr="00403DF5">
        <w:rPr>
          <w:rFonts w:ascii="Arial" w:hAnsi="Arial" w:cs="Arial"/>
          <w:color w:val="000000"/>
          <w:sz w:val="22"/>
          <w:szCs w:val="22"/>
          <w:u w:val="single"/>
          <w:lang w:val="en-ZA"/>
        </w:rPr>
        <w:t>Comment misplaced</w:t>
      </w:r>
      <w:r w:rsidRPr="00403DF5">
        <w:rPr>
          <w:rFonts w:ascii="Arial" w:hAnsi="Arial" w:cs="Arial"/>
          <w:color w:val="000000"/>
          <w:sz w:val="22"/>
          <w:szCs w:val="22"/>
          <w:lang w:val="en-ZA"/>
        </w:rPr>
        <w:t xml:space="preserve">.  Section 12(1) gives senior SARS officials the right of appearance both </w:t>
      </w:r>
      <w:r w:rsidRPr="00403DF5">
        <w:rPr>
          <w:rFonts w:ascii="Arial" w:hAnsi="Arial" w:cs="Arial"/>
          <w:i/>
          <w:iCs/>
          <w:color w:val="000000"/>
          <w:sz w:val="22"/>
          <w:szCs w:val="22"/>
          <w:lang w:val="en-ZA"/>
        </w:rPr>
        <w:t>ex parte</w:t>
      </w:r>
      <w:r w:rsidRPr="00403DF5">
        <w:rPr>
          <w:rFonts w:ascii="Arial" w:hAnsi="Arial" w:cs="Arial"/>
          <w:color w:val="000000"/>
          <w:sz w:val="22"/>
          <w:szCs w:val="22"/>
          <w:lang w:val="en-ZA"/>
        </w:rPr>
        <w:t xml:space="preserve"> in a judge’s chambers (with respect to a High Court judge) and in the listed courts. Section 12(2) then makes it clear that only a senior SARS official who is a duly admitted and enrolled legal practitioner is permitted to represent SARS in the listed courts. This has been a long-standing practice and has not given rise to difficulties in the past. The only aim of the proposed amendment is to expand this right of appearance in court for senior SARS officials to the Supreme Court of Appeal and the Constitutional Court. The commentator appears to be reading section 12(1) as only applying to a right of appearance in </w:t>
      </w:r>
      <w:r w:rsidRPr="00403DF5">
        <w:rPr>
          <w:rFonts w:ascii="Arial" w:hAnsi="Arial" w:cs="Arial"/>
          <w:i/>
          <w:iCs/>
          <w:color w:val="000000"/>
          <w:sz w:val="22"/>
          <w:szCs w:val="22"/>
          <w:lang w:val="en-ZA"/>
        </w:rPr>
        <w:t>ex parte</w:t>
      </w:r>
      <w:r w:rsidRPr="00403DF5">
        <w:rPr>
          <w:rFonts w:ascii="Arial" w:hAnsi="Arial" w:cs="Arial"/>
          <w:color w:val="000000"/>
          <w:sz w:val="22"/>
          <w:szCs w:val="22"/>
          <w:lang w:val="en-ZA"/>
        </w:rPr>
        <w:t xml:space="preserve"> proceedings, which is not the case.</w:t>
      </w:r>
    </w:p>
    <w:p w14:paraId="57AA3F28" w14:textId="77777777" w:rsidR="00E86A7E" w:rsidRPr="00403DF5" w:rsidRDefault="00E86A7E" w:rsidP="00E86A7E">
      <w:pPr>
        <w:pStyle w:val="BodyText"/>
        <w:widowControl/>
        <w:spacing w:before="360" w:after="240"/>
        <w:ind w:left="493" w:right="153"/>
        <w:jc w:val="both"/>
        <w:rPr>
          <w:rFonts w:ascii="Arial" w:hAnsi="Arial" w:cs="Arial"/>
          <w:color w:val="000000"/>
          <w:sz w:val="22"/>
          <w:szCs w:val="22"/>
          <w:lang w:val="en-ZA"/>
        </w:rPr>
      </w:pPr>
      <w:r w:rsidRPr="00403DF5">
        <w:rPr>
          <w:rFonts w:ascii="Arial" w:hAnsi="Arial" w:cs="Arial"/>
          <w:i/>
          <w:iCs/>
          <w:color w:val="000000"/>
          <w:sz w:val="22"/>
          <w:szCs w:val="22"/>
          <w:lang w:val="en-ZA"/>
        </w:rPr>
        <w:t>Comment:</w:t>
      </w:r>
      <w:r w:rsidRPr="00403DF5">
        <w:rPr>
          <w:rFonts w:ascii="Arial" w:hAnsi="Arial" w:cs="Arial"/>
          <w:color w:val="000000"/>
          <w:sz w:val="22"/>
          <w:szCs w:val="22"/>
          <w:lang w:val="en-ZA"/>
        </w:rPr>
        <w:t xml:space="preserve"> The proposal to cross reference section 12(1) to section 12(2) changes the scheme of section 12 and results in only SARS officials who have right of appearance being able to appear </w:t>
      </w:r>
      <w:r w:rsidRPr="00403DF5">
        <w:rPr>
          <w:rFonts w:ascii="Arial" w:hAnsi="Arial" w:cs="Arial"/>
          <w:i/>
          <w:iCs/>
          <w:color w:val="000000"/>
          <w:sz w:val="22"/>
          <w:szCs w:val="22"/>
          <w:lang w:val="en-ZA"/>
        </w:rPr>
        <w:t>ex parte</w:t>
      </w:r>
      <w:r w:rsidRPr="00403DF5">
        <w:rPr>
          <w:rFonts w:ascii="Arial" w:hAnsi="Arial" w:cs="Arial"/>
          <w:color w:val="000000"/>
          <w:sz w:val="22"/>
          <w:szCs w:val="22"/>
          <w:lang w:val="en-ZA"/>
        </w:rPr>
        <w:t xml:space="preserve">, reducing the scope of right of appearance, which does not seem to be the intention. </w:t>
      </w:r>
    </w:p>
    <w:p w14:paraId="3945B6BA" w14:textId="77777777" w:rsidR="00E86A7E" w:rsidRPr="00403DF5" w:rsidRDefault="00E86A7E" w:rsidP="00E86A7E">
      <w:pPr>
        <w:pStyle w:val="BodyText"/>
        <w:spacing w:before="240" w:after="240"/>
        <w:ind w:left="831" w:right="152"/>
        <w:jc w:val="both"/>
        <w:rPr>
          <w:rFonts w:ascii="Arial" w:hAnsi="Arial" w:cs="Arial"/>
          <w:color w:val="000000"/>
          <w:sz w:val="22"/>
          <w:szCs w:val="22"/>
          <w:lang w:val="en-ZA"/>
        </w:rPr>
      </w:pPr>
      <w:r w:rsidRPr="00403DF5">
        <w:rPr>
          <w:rFonts w:ascii="Arial" w:hAnsi="Arial" w:cs="Arial"/>
          <w:i/>
          <w:iCs/>
          <w:color w:val="000000"/>
          <w:sz w:val="22"/>
          <w:szCs w:val="22"/>
          <w:lang w:val="en-ZA"/>
        </w:rPr>
        <w:t xml:space="preserve">Response: </w:t>
      </w:r>
      <w:r w:rsidRPr="00403DF5">
        <w:rPr>
          <w:rFonts w:ascii="Arial" w:hAnsi="Arial" w:cs="Arial"/>
          <w:color w:val="000000"/>
          <w:sz w:val="22"/>
          <w:szCs w:val="22"/>
          <w:u w:val="single"/>
          <w:lang w:val="en-ZA"/>
        </w:rPr>
        <w:t>Accepted.</w:t>
      </w:r>
      <w:r w:rsidRPr="00403DF5">
        <w:rPr>
          <w:rFonts w:ascii="Arial" w:hAnsi="Arial" w:cs="Arial"/>
          <w:color w:val="000000"/>
          <w:sz w:val="22"/>
          <w:szCs w:val="22"/>
          <w:lang w:val="en-ZA"/>
        </w:rPr>
        <w:t xml:space="preserve"> The proposed amendment to section 12(2) has been reworded to remove any uncertainty that may exist in this regard.</w:t>
      </w:r>
    </w:p>
    <w:p w14:paraId="427FC534" w14:textId="77777777" w:rsidR="00E86A7E" w:rsidRPr="00403DF5" w:rsidRDefault="00E86A7E" w:rsidP="00E86A7E">
      <w:pPr>
        <w:pStyle w:val="BodyText"/>
        <w:spacing w:before="360" w:after="240"/>
        <w:ind w:left="493" w:right="153"/>
        <w:jc w:val="both"/>
        <w:rPr>
          <w:rFonts w:ascii="Arial" w:hAnsi="Arial" w:cs="Arial"/>
          <w:color w:val="000000"/>
          <w:sz w:val="22"/>
          <w:szCs w:val="22"/>
          <w:lang w:val="en-ZA"/>
        </w:rPr>
      </w:pPr>
      <w:r w:rsidRPr="00403DF5">
        <w:rPr>
          <w:rFonts w:ascii="Arial" w:hAnsi="Arial" w:cs="Arial"/>
          <w:i/>
          <w:iCs/>
          <w:color w:val="000000"/>
          <w:sz w:val="22"/>
          <w:szCs w:val="22"/>
          <w:lang w:val="en-ZA"/>
        </w:rPr>
        <w:t>Comment:</w:t>
      </w:r>
      <w:r w:rsidRPr="00403DF5">
        <w:rPr>
          <w:rFonts w:ascii="Arial" w:hAnsi="Arial" w:cs="Arial"/>
          <w:color w:val="000000"/>
          <w:sz w:val="22"/>
          <w:szCs w:val="22"/>
          <w:lang w:val="en-ZA"/>
        </w:rPr>
        <w:t xml:space="preserve"> The proposed amendment introduces significant changes in Tax Court representation, necessitating further refinement to ensure fair and effective taxpayer representation while maintaining the integrity of tax proceedings. </w:t>
      </w:r>
    </w:p>
    <w:p w14:paraId="3ABD283E" w14:textId="77777777" w:rsidR="00E86A7E" w:rsidRPr="00403DF5" w:rsidRDefault="00E86A7E" w:rsidP="00E86A7E">
      <w:pPr>
        <w:pStyle w:val="BodyText"/>
        <w:spacing w:before="360" w:after="240"/>
        <w:ind w:left="493" w:right="153"/>
        <w:jc w:val="both"/>
        <w:rPr>
          <w:rFonts w:ascii="Arial" w:hAnsi="Arial" w:cs="Arial"/>
          <w:color w:val="000000"/>
          <w:sz w:val="22"/>
          <w:szCs w:val="22"/>
          <w:lang w:val="en-ZA"/>
        </w:rPr>
      </w:pPr>
      <w:r w:rsidRPr="00403DF5">
        <w:rPr>
          <w:rFonts w:ascii="Arial" w:hAnsi="Arial" w:cs="Arial"/>
          <w:color w:val="000000"/>
          <w:sz w:val="22"/>
          <w:szCs w:val="22"/>
          <w:lang w:val="en-ZA"/>
        </w:rPr>
        <w:t xml:space="preserve">A “fit and proper” test is introduced without specifying any criteria or process that should be followed in determining this test. Although “fit and proper” is a known term in the legal fraternity, this test is now being expanded to potentially all natural persons without certainty as to its application. What is clear, including from the </w:t>
      </w:r>
      <w:r w:rsidRPr="00403DF5">
        <w:rPr>
          <w:rFonts w:ascii="Arial" w:hAnsi="Arial" w:cs="Arial"/>
          <w:i/>
          <w:iCs/>
          <w:color w:val="000000"/>
          <w:sz w:val="22"/>
          <w:szCs w:val="22"/>
          <w:lang w:val="en-ZA"/>
        </w:rPr>
        <w:t>Poulter case</w:t>
      </w:r>
      <w:r w:rsidRPr="00403DF5">
        <w:rPr>
          <w:rFonts w:ascii="Arial" w:hAnsi="Arial" w:cs="Arial"/>
          <w:color w:val="000000"/>
          <w:sz w:val="22"/>
          <w:szCs w:val="22"/>
          <w:lang w:val="en-ZA"/>
        </w:rPr>
        <w:t xml:space="preserve">, is that there is no requirement to have a legal qualification or have knowledge of legal procedure as part of this enquiry. </w:t>
      </w:r>
    </w:p>
    <w:p w14:paraId="05BDAFE3" w14:textId="77777777" w:rsidR="00E86A7E" w:rsidRPr="00403DF5" w:rsidRDefault="00E86A7E" w:rsidP="00E86A7E">
      <w:pPr>
        <w:pStyle w:val="BodyText"/>
        <w:spacing w:before="360" w:after="240"/>
        <w:ind w:left="493" w:right="153"/>
        <w:jc w:val="both"/>
        <w:rPr>
          <w:rFonts w:ascii="Arial" w:hAnsi="Arial" w:cs="Arial"/>
          <w:color w:val="000000"/>
          <w:sz w:val="22"/>
          <w:szCs w:val="22"/>
          <w:lang w:val="en-ZA"/>
        </w:rPr>
      </w:pPr>
      <w:r w:rsidRPr="00403DF5">
        <w:rPr>
          <w:rFonts w:ascii="Arial" w:hAnsi="Arial" w:cs="Arial"/>
          <w:color w:val="000000"/>
          <w:sz w:val="22"/>
          <w:szCs w:val="22"/>
          <w:lang w:val="en-ZA"/>
        </w:rPr>
        <w:t xml:space="preserve">Clarity is required on how the “fit and proper” criteria will be applied compared to enrolled legal practitioners. The lack of legal qualification should specifically be excluded as a requirement to ensure no doubt. </w:t>
      </w:r>
    </w:p>
    <w:p w14:paraId="59115761" w14:textId="77777777" w:rsidR="00E86A7E" w:rsidRPr="00403DF5" w:rsidRDefault="00E86A7E" w:rsidP="00E86A7E">
      <w:pPr>
        <w:pStyle w:val="BodyText"/>
        <w:spacing w:before="240" w:after="240"/>
        <w:ind w:left="831" w:right="152"/>
        <w:jc w:val="both"/>
        <w:rPr>
          <w:rFonts w:ascii="Arial" w:hAnsi="Arial" w:cs="Arial"/>
          <w:color w:val="000000"/>
          <w:sz w:val="22"/>
          <w:szCs w:val="22"/>
          <w:lang w:val="en-ZA"/>
        </w:rPr>
      </w:pPr>
      <w:r w:rsidRPr="00403DF5">
        <w:rPr>
          <w:rFonts w:ascii="Arial" w:hAnsi="Arial" w:cs="Arial"/>
          <w:i/>
          <w:iCs/>
          <w:color w:val="000000"/>
          <w:sz w:val="22"/>
          <w:szCs w:val="22"/>
          <w:lang w:val="en-ZA"/>
        </w:rPr>
        <w:t xml:space="preserve">Response: </w:t>
      </w:r>
      <w:r w:rsidRPr="00403DF5">
        <w:rPr>
          <w:rFonts w:ascii="Arial" w:hAnsi="Arial" w:cs="Arial"/>
          <w:color w:val="000000"/>
          <w:sz w:val="22"/>
          <w:szCs w:val="22"/>
          <w:u w:val="single"/>
          <w:lang w:val="en-ZA"/>
        </w:rPr>
        <w:t>Noted</w:t>
      </w:r>
      <w:r w:rsidRPr="004325A1">
        <w:rPr>
          <w:rFonts w:ascii="Arial" w:hAnsi="Arial" w:cs="Arial"/>
          <w:color w:val="000000"/>
          <w:sz w:val="22"/>
          <w:szCs w:val="22"/>
          <w:lang w:val="en-ZA"/>
        </w:rPr>
        <w:t>.</w:t>
      </w:r>
      <w:r w:rsidRPr="00403DF5">
        <w:rPr>
          <w:rFonts w:ascii="Arial" w:hAnsi="Arial" w:cs="Arial"/>
          <w:color w:val="000000"/>
          <w:sz w:val="22"/>
          <w:szCs w:val="22"/>
          <w:lang w:val="en-ZA"/>
        </w:rPr>
        <w:t xml:space="preserve"> The proposed amendment grants the president of the tax court the discretion to decide whether the person appearing on behalf of the taxpayer is a fit and proper person to appear on the taxpayer’s behalf. The test of being a “fit and proper” person is used in a number of different Acts, particularly in the context of determining if a person is “fit and proper” to be appointed to a specific office, position, role or profession. What is “fit and proper” is determined in the context of these appointments. In the tax court, should the president of the tax court regard it necessary, the president may take cognisance of the case law in this regard in order to determine whether the person meets the test for the conduct of the proceedings in the tax court. </w:t>
      </w:r>
    </w:p>
    <w:p w14:paraId="0951FBC2" w14:textId="77777777" w:rsidR="00E86A7E" w:rsidRPr="00403DF5" w:rsidRDefault="00E86A7E" w:rsidP="00E86A7E">
      <w:pPr>
        <w:pStyle w:val="BodyText"/>
        <w:spacing w:before="360" w:after="240"/>
        <w:ind w:left="493" w:right="153"/>
        <w:jc w:val="both"/>
        <w:rPr>
          <w:rFonts w:ascii="Arial" w:hAnsi="Arial" w:cs="Arial"/>
          <w:color w:val="000000"/>
          <w:sz w:val="22"/>
          <w:szCs w:val="22"/>
          <w:lang w:val="en-ZA"/>
        </w:rPr>
      </w:pPr>
      <w:r w:rsidRPr="00403DF5">
        <w:rPr>
          <w:rFonts w:ascii="Arial" w:hAnsi="Arial" w:cs="Arial"/>
          <w:i/>
          <w:iCs/>
          <w:color w:val="000000"/>
          <w:sz w:val="22"/>
          <w:szCs w:val="22"/>
          <w:lang w:val="en-ZA"/>
        </w:rPr>
        <w:t xml:space="preserve">Comment: </w:t>
      </w:r>
      <w:r w:rsidRPr="00403DF5">
        <w:rPr>
          <w:rFonts w:ascii="Arial" w:hAnsi="Arial" w:cs="Arial"/>
          <w:color w:val="000000"/>
          <w:sz w:val="22"/>
          <w:szCs w:val="22"/>
          <w:lang w:val="en-ZA"/>
        </w:rPr>
        <w:t xml:space="preserve">There is uncertainty as to whether taxpayers will be held to the same ethical standards and court etiquette as legal practitioners, creating a disparity in expertise between SARS legal professionals and taxpayer representatives. The address these concerns, submit that the “fit and proper” criteria be defined in alignment with the Legal Practice Act, 2014, to ensure consistency. </w:t>
      </w:r>
    </w:p>
    <w:p w14:paraId="2933FAF3" w14:textId="77777777" w:rsidR="00E86A7E" w:rsidRPr="00403DF5" w:rsidRDefault="00E86A7E" w:rsidP="00E86A7E">
      <w:pPr>
        <w:pStyle w:val="BodyText"/>
        <w:spacing w:before="240" w:after="240"/>
        <w:ind w:left="831" w:right="152"/>
        <w:jc w:val="both"/>
        <w:rPr>
          <w:rFonts w:ascii="Arial" w:hAnsi="Arial" w:cs="Arial"/>
          <w:color w:val="000000"/>
          <w:sz w:val="22"/>
          <w:szCs w:val="22"/>
          <w:lang w:val="en-ZA"/>
        </w:rPr>
      </w:pPr>
      <w:r w:rsidRPr="00403DF5">
        <w:rPr>
          <w:rFonts w:ascii="Arial" w:hAnsi="Arial" w:cs="Arial"/>
          <w:i/>
          <w:iCs/>
          <w:color w:val="000000"/>
          <w:sz w:val="22"/>
          <w:szCs w:val="22"/>
          <w:lang w:val="en-ZA"/>
        </w:rPr>
        <w:t xml:space="preserve">Response: </w:t>
      </w:r>
      <w:r w:rsidRPr="00403DF5">
        <w:rPr>
          <w:rFonts w:ascii="Arial" w:hAnsi="Arial" w:cs="Arial"/>
          <w:color w:val="000000"/>
          <w:sz w:val="22"/>
          <w:szCs w:val="22"/>
          <w:lang w:val="en-ZA"/>
        </w:rPr>
        <w:t xml:space="preserve"> </w:t>
      </w:r>
      <w:r w:rsidRPr="00403DF5">
        <w:rPr>
          <w:rFonts w:ascii="Arial" w:hAnsi="Arial" w:cs="Arial"/>
          <w:color w:val="000000"/>
          <w:sz w:val="22"/>
          <w:szCs w:val="22"/>
          <w:u w:val="single"/>
          <w:lang w:val="en-ZA"/>
        </w:rPr>
        <w:t>Not accepted</w:t>
      </w:r>
      <w:r w:rsidRPr="004325A1">
        <w:rPr>
          <w:rFonts w:ascii="Arial" w:hAnsi="Arial" w:cs="Arial"/>
          <w:color w:val="000000"/>
          <w:sz w:val="22"/>
          <w:szCs w:val="22"/>
          <w:lang w:val="en-ZA"/>
        </w:rPr>
        <w:t>.</w:t>
      </w:r>
      <w:r w:rsidRPr="00403DF5">
        <w:rPr>
          <w:rFonts w:ascii="Arial" w:hAnsi="Arial" w:cs="Arial"/>
          <w:color w:val="000000"/>
          <w:sz w:val="22"/>
          <w:szCs w:val="22"/>
          <w:lang w:val="en-ZA"/>
        </w:rPr>
        <w:t xml:space="preserve"> The Legal Practice Act, 2014, does not define the concept of a “fit and proper” person and, in any event, deals with the admittance of legal practitioners who must adhere to a strict code of conduct. Accordingly, the applicable code of conduct would generally exclude most non-legal professionals. However, as set out above, the “fit and proper” concept is used in a number of different Acts and is interpreted by the courts against the case law to determine whether the person meets this test in each particular context. This should provide the president of the tax court with a basis to determine if a person is “fit and proper” in the context of proceedings in the tax court.</w:t>
      </w:r>
    </w:p>
    <w:p w14:paraId="4A2EFBF7" w14:textId="77777777" w:rsidR="00E86A7E" w:rsidRPr="00403DF5" w:rsidRDefault="00E86A7E" w:rsidP="00E86A7E">
      <w:pPr>
        <w:pStyle w:val="BodyText"/>
        <w:spacing w:before="360" w:after="240"/>
        <w:ind w:left="493" w:right="153"/>
        <w:jc w:val="both"/>
        <w:rPr>
          <w:rFonts w:ascii="Arial" w:hAnsi="Arial" w:cs="Arial"/>
          <w:color w:val="000000"/>
          <w:sz w:val="22"/>
          <w:szCs w:val="22"/>
          <w:lang w:val="en-ZA"/>
        </w:rPr>
      </w:pPr>
      <w:r w:rsidRPr="00403DF5">
        <w:rPr>
          <w:rFonts w:ascii="Arial" w:hAnsi="Arial" w:cs="Arial"/>
          <w:i/>
          <w:iCs/>
          <w:color w:val="000000"/>
          <w:sz w:val="22"/>
          <w:szCs w:val="22"/>
          <w:lang w:val="en-ZA"/>
        </w:rPr>
        <w:t xml:space="preserve">Comment: </w:t>
      </w:r>
      <w:r w:rsidRPr="00403DF5">
        <w:rPr>
          <w:rFonts w:ascii="Arial" w:hAnsi="Arial" w:cs="Arial"/>
          <w:color w:val="000000"/>
          <w:sz w:val="22"/>
          <w:szCs w:val="22"/>
          <w:lang w:val="en-ZA"/>
        </w:rPr>
        <w:t>Questions arise about the ability of untrained individuals, including those with questionable backgrounds, to represent taxpayers effectively. SARS will be represented by trained legal professionals, while taxpayers may rely on individuals lacking legal knowledge.</w:t>
      </w:r>
    </w:p>
    <w:p w14:paraId="07851BB5" w14:textId="77777777" w:rsidR="00E86A7E" w:rsidRPr="00403DF5" w:rsidRDefault="00E86A7E" w:rsidP="00E86A7E">
      <w:pPr>
        <w:pStyle w:val="BodyText"/>
        <w:spacing w:before="240" w:after="240"/>
        <w:ind w:left="831" w:right="152"/>
        <w:jc w:val="both"/>
        <w:rPr>
          <w:rFonts w:ascii="Arial" w:hAnsi="Arial" w:cs="Arial"/>
          <w:color w:val="000000"/>
          <w:sz w:val="22"/>
          <w:szCs w:val="22"/>
          <w:lang w:val="en-ZA"/>
        </w:rPr>
      </w:pPr>
      <w:r w:rsidRPr="00403DF5">
        <w:rPr>
          <w:rFonts w:ascii="Arial" w:hAnsi="Arial" w:cs="Arial"/>
          <w:i/>
          <w:iCs/>
          <w:color w:val="000000"/>
          <w:sz w:val="22"/>
          <w:szCs w:val="22"/>
          <w:lang w:val="en-ZA"/>
        </w:rPr>
        <w:t xml:space="preserve">Response: </w:t>
      </w:r>
      <w:r w:rsidRPr="00403DF5">
        <w:rPr>
          <w:rFonts w:ascii="Arial" w:hAnsi="Arial" w:cs="Arial"/>
          <w:color w:val="000000"/>
          <w:sz w:val="22"/>
          <w:szCs w:val="22"/>
          <w:u w:val="single"/>
          <w:lang w:val="en-ZA"/>
        </w:rPr>
        <w:t>Noted.</w:t>
      </w:r>
      <w:r w:rsidRPr="00403DF5">
        <w:rPr>
          <w:rFonts w:ascii="Arial" w:hAnsi="Arial" w:cs="Arial"/>
          <w:color w:val="000000"/>
          <w:sz w:val="22"/>
          <w:szCs w:val="22"/>
          <w:lang w:val="en-ZA"/>
        </w:rPr>
        <w:t xml:space="preserve"> The taxpayer has the discretion to select the person who will represent them in court proceedings in the tax court, and subsequently must satisfy themself that the person will be suitable for this purpose. Individuals with questionable backgrounds would be unlikely to be considered “fit and proper”.</w:t>
      </w:r>
    </w:p>
    <w:p w14:paraId="1884B497" w14:textId="77777777" w:rsidR="00E86A7E" w:rsidRPr="003F111D" w:rsidRDefault="00E86A7E" w:rsidP="00E86A7E">
      <w:pPr>
        <w:pStyle w:val="BodyText"/>
        <w:spacing w:before="360" w:after="240"/>
        <w:ind w:left="493" w:right="153"/>
        <w:jc w:val="both"/>
        <w:rPr>
          <w:rFonts w:ascii="Arial" w:hAnsi="Arial" w:cs="Arial"/>
          <w:color w:val="000000"/>
          <w:lang w:val="en-ZA"/>
        </w:rPr>
      </w:pPr>
      <w:r w:rsidRPr="00403DF5">
        <w:rPr>
          <w:rFonts w:ascii="Arial" w:hAnsi="Arial" w:cs="Arial"/>
          <w:i/>
          <w:iCs/>
          <w:color w:val="000000"/>
          <w:sz w:val="22"/>
          <w:szCs w:val="22"/>
          <w:lang w:val="en-ZA"/>
        </w:rPr>
        <w:t>Comment:</w:t>
      </w:r>
      <w:r w:rsidRPr="00403DF5">
        <w:rPr>
          <w:rFonts w:ascii="Arial" w:hAnsi="Arial" w:cs="Arial"/>
          <w:color w:val="000000"/>
          <w:sz w:val="22"/>
          <w:szCs w:val="22"/>
          <w:lang w:val="en-ZA"/>
        </w:rPr>
        <w:t xml:space="preserve"> Additionally, natural persons representing taxpayers should be required to register with a professional body or be recognised as tax practitioners. Enhancing Tax Court rules to implement clear procedures for assessing and confirming a representative’s fitness to appear in court would also be beneficial</w:t>
      </w:r>
      <w:r w:rsidRPr="003F111D">
        <w:rPr>
          <w:rFonts w:ascii="Arial" w:hAnsi="Arial" w:cs="Arial"/>
          <w:color w:val="000000"/>
          <w:lang w:val="en-ZA"/>
        </w:rPr>
        <w:t>.</w:t>
      </w:r>
    </w:p>
    <w:p w14:paraId="3610C36C" w14:textId="77777777" w:rsidR="00E86A7E" w:rsidRPr="00403DF5" w:rsidRDefault="00E86A7E" w:rsidP="00E86A7E">
      <w:pPr>
        <w:pStyle w:val="BodyText"/>
        <w:spacing w:before="240" w:after="240"/>
        <w:ind w:left="831" w:right="152"/>
        <w:jc w:val="both"/>
        <w:rPr>
          <w:rFonts w:ascii="Arial" w:hAnsi="Arial" w:cs="Arial"/>
          <w:color w:val="000000"/>
          <w:sz w:val="22"/>
          <w:szCs w:val="22"/>
          <w:lang w:val="en-ZA"/>
        </w:rPr>
      </w:pPr>
      <w:r w:rsidRPr="00403DF5">
        <w:rPr>
          <w:rFonts w:ascii="Arial" w:hAnsi="Arial" w:cs="Arial"/>
          <w:i/>
          <w:iCs/>
          <w:color w:val="000000"/>
          <w:sz w:val="22"/>
          <w:szCs w:val="22"/>
          <w:lang w:val="en-ZA"/>
        </w:rPr>
        <w:t xml:space="preserve">Response: </w:t>
      </w:r>
      <w:r w:rsidRPr="00403DF5">
        <w:rPr>
          <w:rFonts w:ascii="Arial" w:hAnsi="Arial" w:cs="Arial"/>
          <w:color w:val="000000"/>
          <w:sz w:val="22"/>
          <w:szCs w:val="22"/>
          <w:u w:val="single"/>
          <w:lang w:val="en-ZA"/>
        </w:rPr>
        <w:t>Partially accepted</w:t>
      </w:r>
      <w:r w:rsidRPr="004325A1">
        <w:rPr>
          <w:rFonts w:ascii="Arial" w:hAnsi="Arial" w:cs="Arial"/>
          <w:color w:val="000000"/>
          <w:sz w:val="22"/>
          <w:szCs w:val="22"/>
          <w:lang w:val="en-ZA"/>
        </w:rPr>
        <w:t>.</w:t>
      </w:r>
      <w:r w:rsidRPr="00403DF5">
        <w:rPr>
          <w:rFonts w:ascii="Arial" w:hAnsi="Arial" w:cs="Arial"/>
          <w:color w:val="000000"/>
          <w:sz w:val="22"/>
          <w:szCs w:val="22"/>
          <w:lang w:val="en-ZA"/>
        </w:rPr>
        <w:t xml:space="preserve"> Compelling a natural person who wishes to appear on behalf of a taxpayer to belong to a professional body or be a recognised tax practitioner would limit the taxpayer’s right of representation in this regard. As an example, a family member would be prevented from representing another family member. The discretion afforded to the president of the tax court is, however, intended to ensure that the person representing the taxpayer is able to do so in a manner that will not prejudice the conduct of the proceedings in the tax court. </w:t>
      </w:r>
    </w:p>
    <w:p w14:paraId="3C25D369" w14:textId="77777777" w:rsidR="00E86A7E" w:rsidRPr="00403DF5" w:rsidRDefault="00E86A7E" w:rsidP="00E86A7E">
      <w:pPr>
        <w:pStyle w:val="BodyText"/>
        <w:spacing w:before="240" w:after="240"/>
        <w:ind w:left="831" w:right="152"/>
        <w:jc w:val="both"/>
        <w:rPr>
          <w:rFonts w:ascii="Arial" w:hAnsi="Arial" w:cs="Arial"/>
          <w:color w:val="000000"/>
          <w:sz w:val="22"/>
          <w:szCs w:val="22"/>
          <w:lang w:val="en-ZA"/>
        </w:rPr>
      </w:pPr>
      <w:r w:rsidRPr="00403DF5">
        <w:rPr>
          <w:rFonts w:ascii="Arial" w:hAnsi="Arial" w:cs="Arial"/>
          <w:color w:val="000000"/>
          <w:sz w:val="22"/>
          <w:szCs w:val="22"/>
          <w:lang w:val="en-ZA"/>
        </w:rPr>
        <w:t>Any amendments that may be required to the dispute resolution rules to accommodate the processes to be followed in this regard will be made and circulated for public comment as is normally the case.</w:t>
      </w:r>
    </w:p>
    <w:p w14:paraId="122C406F" w14:textId="77777777" w:rsidR="00E86A7E" w:rsidRPr="00403DF5" w:rsidRDefault="00E86A7E" w:rsidP="00E86A7E">
      <w:pPr>
        <w:pStyle w:val="BodyText"/>
        <w:spacing w:before="360" w:after="240"/>
        <w:ind w:left="493" w:right="153"/>
        <w:jc w:val="both"/>
        <w:rPr>
          <w:rFonts w:ascii="Arial" w:hAnsi="Arial" w:cs="Arial"/>
          <w:color w:val="000000"/>
          <w:sz w:val="22"/>
          <w:szCs w:val="22"/>
          <w:lang w:val="en-ZA"/>
        </w:rPr>
      </w:pPr>
      <w:r w:rsidRPr="00403DF5">
        <w:rPr>
          <w:rFonts w:ascii="Arial" w:hAnsi="Arial" w:cs="Arial"/>
          <w:i/>
          <w:iCs/>
          <w:color w:val="000000"/>
          <w:sz w:val="22"/>
          <w:szCs w:val="22"/>
          <w:lang w:val="en-ZA"/>
        </w:rPr>
        <w:t>Comment:</w:t>
      </w:r>
      <w:r w:rsidRPr="00403DF5">
        <w:rPr>
          <w:rFonts w:ascii="Arial" w:hAnsi="Arial" w:cs="Arial"/>
          <w:color w:val="000000"/>
          <w:sz w:val="22"/>
          <w:szCs w:val="22"/>
          <w:lang w:val="en-ZA"/>
        </w:rPr>
        <w:t xml:space="preserve"> The proposed amendment provides that where a senior SARS official appears </w:t>
      </w:r>
      <w:r w:rsidRPr="00403DF5">
        <w:rPr>
          <w:rFonts w:ascii="Arial" w:hAnsi="Arial" w:cs="Arial"/>
          <w:i/>
          <w:iCs/>
          <w:color w:val="000000"/>
          <w:sz w:val="22"/>
          <w:szCs w:val="22"/>
          <w:lang w:val="en-ZA"/>
        </w:rPr>
        <w:t xml:space="preserve">ex parte </w:t>
      </w:r>
      <w:r w:rsidRPr="00403DF5">
        <w:rPr>
          <w:rFonts w:ascii="Arial" w:hAnsi="Arial" w:cs="Arial"/>
          <w:color w:val="000000"/>
          <w:sz w:val="22"/>
          <w:szCs w:val="22"/>
          <w:lang w:val="en-ZA"/>
        </w:rPr>
        <w:t xml:space="preserve">as envisaged in section 12(1) in judge’s chambers, SARS should be able to have taxed the cost of that proceeding as if a private legal practitioner had appeared. There seems no rational reason why SARS would require this provision as there would be no cost order against another party as the proceedings are </w:t>
      </w:r>
      <w:r w:rsidRPr="00403DF5">
        <w:rPr>
          <w:rFonts w:ascii="Arial" w:hAnsi="Arial" w:cs="Arial"/>
          <w:i/>
          <w:iCs/>
          <w:color w:val="000000"/>
          <w:sz w:val="22"/>
          <w:szCs w:val="22"/>
          <w:lang w:val="en-ZA"/>
        </w:rPr>
        <w:t xml:space="preserve">ex parte </w:t>
      </w:r>
      <w:r w:rsidRPr="00403DF5">
        <w:rPr>
          <w:rFonts w:ascii="Arial" w:hAnsi="Arial" w:cs="Arial"/>
          <w:color w:val="000000"/>
          <w:sz w:val="22"/>
          <w:szCs w:val="22"/>
          <w:lang w:val="en-ZA"/>
        </w:rPr>
        <w:t xml:space="preserve">in section 12(1). </w:t>
      </w:r>
    </w:p>
    <w:p w14:paraId="46B09B45" w14:textId="77777777" w:rsidR="00E86A7E" w:rsidRPr="00403DF5" w:rsidRDefault="00E86A7E" w:rsidP="00E86A7E">
      <w:pPr>
        <w:pStyle w:val="BodyText"/>
        <w:spacing w:before="360" w:after="240"/>
        <w:ind w:left="493" w:right="153"/>
        <w:jc w:val="both"/>
        <w:rPr>
          <w:rFonts w:ascii="Arial" w:hAnsi="Arial" w:cs="Arial"/>
          <w:color w:val="000000"/>
          <w:sz w:val="22"/>
          <w:szCs w:val="22"/>
          <w:lang w:val="en-ZA"/>
        </w:rPr>
      </w:pPr>
      <w:r w:rsidRPr="00403DF5">
        <w:rPr>
          <w:rFonts w:ascii="Arial" w:hAnsi="Arial" w:cs="Arial"/>
          <w:color w:val="000000"/>
          <w:sz w:val="22"/>
          <w:szCs w:val="22"/>
          <w:lang w:val="en-ZA"/>
        </w:rPr>
        <w:t xml:space="preserve">It is also objectionable that SARS seeks to create a cost at a level of a private legal practitioner e.g. senior counsel, when no such cost exists and in fact no such equivalent person appeared on SARS’ behalf. Should SARS envisage some form of recovery from a taxpayer of non-party to proceedings of “deemed cost”, such proposal is also objectionable as SARS initiated the proceedings at its own will and direction. Furthermore, such proposal would seem Constitutionally questionable. </w:t>
      </w:r>
    </w:p>
    <w:p w14:paraId="004181B5" w14:textId="77777777" w:rsidR="00E86A7E" w:rsidRPr="00403DF5" w:rsidRDefault="00E86A7E" w:rsidP="00E86A7E">
      <w:pPr>
        <w:pStyle w:val="BodyText"/>
        <w:spacing w:before="360" w:after="240"/>
        <w:ind w:left="493" w:right="153"/>
        <w:jc w:val="both"/>
        <w:rPr>
          <w:rFonts w:ascii="Arial" w:hAnsi="Arial" w:cs="Arial"/>
          <w:color w:val="000000"/>
          <w:sz w:val="22"/>
          <w:szCs w:val="22"/>
          <w:lang w:val="en-ZA"/>
        </w:rPr>
      </w:pPr>
      <w:r w:rsidRPr="00403DF5">
        <w:rPr>
          <w:rFonts w:ascii="Arial" w:hAnsi="Arial" w:cs="Arial"/>
          <w:color w:val="000000"/>
          <w:sz w:val="22"/>
          <w:szCs w:val="22"/>
          <w:lang w:val="en-ZA"/>
        </w:rPr>
        <w:t xml:space="preserve">Our views and objections remain similar if the intention was to create a fee recovery at deemed cost in other proceedings as well. </w:t>
      </w:r>
    </w:p>
    <w:p w14:paraId="6C19B5D9" w14:textId="77777777" w:rsidR="00E86A7E" w:rsidRPr="00403DF5" w:rsidRDefault="00E86A7E" w:rsidP="00E86A7E">
      <w:pPr>
        <w:pStyle w:val="BodyText"/>
        <w:spacing w:before="240" w:after="240"/>
        <w:ind w:left="831" w:right="152"/>
        <w:jc w:val="both"/>
        <w:rPr>
          <w:rFonts w:ascii="Arial" w:hAnsi="Arial" w:cs="Arial"/>
          <w:color w:val="000000"/>
          <w:sz w:val="22"/>
          <w:szCs w:val="22"/>
          <w:lang w:val="en-ZA"/>
        </w:rPr>
      </w:pPr>
      <w:r w:rsidRPr="00403DF5">
        <w:rPr>
          <w:rFonts w:ascii="Arial" w:hAnsi="Arial" w:cs="Arial"/>
          <w:i/>
          <w:iCs/>
          <w:color w:val="000000"/>
          <w:sz w:val="22"/>
          <w:szCs w:val="22"/>
          <w:lang w:val="en-ZA"/>
        </w:rPr>
        <w:t xml:space="preserve">Response: </w:t>
      </w:r>
      <w:r w:rsidRPr="00403DF5">
        <w:rPr>
          <w:rFonts w:ascii="Arial" w:hAnsi="Arial" w:cs="Arial"/>
          <w:color w:val="000000"/>
          <w:sz w:val="22"/>
          <w:szCs w:val="22"/>
          <w:u w:val="single"/>
          <w:lang w:val="en-ZA"/>
        </w:rPr>
        <w:t>Not accepted</w:t>
      </w:r>
      <w:r w:rsidRPr="004325A1">
        <w:rPr>
          <w:rFonts w:ascii="Arial" w:hAnsi="Arial" w:cs="Arial"/>
          <w:color w:val="000000"/>
          <w:sz w:val="22"/>
          <w:szCs w:val="22"/>
          <w:lang w:val="en-ZA"/>
        </w:rPr>
        <w:t>.</w:t>
      </w:r>
      <w:r w:rsidRPr="00403DF5">
        <w:rPr>
          <w:rFonts w:ascii="Arial" w:hAnsi="Arial" w:cs="Arial"/>
          <w:color w:val="000000"/>
          <w:sz w:val="22"/>
          <w:szCs w:val="22"/>
          <w:lang w:val="en-ZA"/>
        </w:rPr>
        <w:t xml:space="preserve"> As costs can only be awarded by the court that hears the matter, the cost recovery does not relate to any appearances on behalf of SARS in </w:t>
      </w:r>
      <w:r w:rsidRPr="00403DF5">
        <w:rPr>
          <w:rFonts w:ascii="Arial" w:hAnsi="Arial" w:cs="Arial"/>
          <w:i/>
          <w:iCs/>
          <w:color w:val="000000"/>
          <w:sz w:val="22"/>
          <w:szCs w:val="22"/>
          <w:lang w:val="en-ZA"/>
        </w:rPr>
        <w:t>ex parte</w:t>
      </w:r>
      <w:r w:rsidRPr="00403DF5">
        <w:rPr>
          <w:rFonts w:ascii="Arial" w:hAnsi="Arial" w:cs="Arial"/>
          <w:color w:val="000000"/>
          <w:sz w:val="22"/>
          <w:szCs w:val="22"/>
          <w:lang w:val="en-ZA"/>
        </w:rPr>
        <w:t xml:space="preserve"> applications in a judge’s chambers by a senior SARS official who is not a legal practitioner. </w:t>
      </w:r>
    </w:p>
    <w:p w14:paraId="31622F69" w14:textId="77777777" w:rsidR="00E86A7E" w:rsidRPr="00403DF5" w:rsidRDefault="00E86A7E" w:rsidP="00E86A7E">
      <w:pPr>
        <w:pStyle w:val="BodyText"/>
        <w:widowControl/>
        <w:spacing w:before="240" w:after="240"/>
        <w:ind w:left="833" w:right="153"/>
        <w:jc w:val="both"/>
        <w:rPr>
          <w:rFonts w:ascii="Arial" w:hAnsi="Arial" w:cs="Arial"/>
          <w:color w:val="000000"/>
          <w:sz w:val="22"/>
          <w:szCs w:val="22"/>
          <w:lang w:val="en-ZA"/>
        </w:rPr>
      </w:pPr>
      <w:r w:rsidRPr="00403DF5">
        <w:rPr>
          <w:rFonts w:ascii="Arial" w:hAnsi="Arial" w:cs="Arial"/>
          <w:color w:val="000000"/>
          <w:sz w:val="22"/>
          <w:szCs w:val="22"/>
          <w:lang w:val="en-ZA"/>
        </w:rPr>
        <w:t xml:space="preserve">The proposed amendment provides that where a senior SARS official who is a duly admitted and enrolled legal practitioner appeared on behalf of SARS or the Commissioner in any proceedings in a High Court, Supreme Court or Constitutional Court, and costs are awarded in favour of SARS, fees and costs may be taxed and recovered in the same manner as if such functions had been performed by a legal practitioner in private practice. </w:t>
      </w:r>
    </w:p>
    <w:p w14:paraId="1EC18E76" w14:textId="77777777" w:rsidR="00E86A7E" w:rsidRPr="00403DF5" w:rsidRDefault="00E86A7E" w:rsidP="00E86A7E">
      <w:pPr>
        <w:pStyle w:val="BodyText"/>
        <w:spacing w:before="240" w:after="240"/>
        <w:ind w:left="831" w:right="152"/>
        <w:jc w:val="both"/>
        <w:rPr>
          <w:rFonts w:ascii="Arial" w:hAnsi="Arial" w:cs="Arial"/>
          <w:color w:val="000000"/>
          <w:sz w:val="22"/>
          <w:szCs w:val="22"/>
          <w:lang w:val="en-ZA"/>
        </w:rPr>
      </w:pPr>
      <w:r w:rsidRPr="00403DF5">
        <w:rPr>
          <w:rFonts w:ascii="Arial" w:hAnsi="Arial" w:cs="Arial"/>
          <w:color w:val="000000"/>
          <w:sz w:val="22"/>
          <w:szCs w:val="22"/>
          <w:lang w:val="en-ZA"/>
        </w:rPr>
        <w:t xml:space="preserve">Legal precedent for the recovery of legal costs by a governmental entity already exists, for example the recovery of legal costs by the State Attorney. (See for example    section 6 of the State Attorney’s Act, 1957, which provides for legal costs recovery by a State Attorney, or any person employed in an office of State Attorney and admitted and entitled to practise, in the same manner as if such functions had been performed by a practitioner in private practice.) </w:t>
      </w:r>
    </w:p>
    <w:p w14:paraId="02830B01" w14:textId="77777777" w:rsidR="00E86A7E" w:rsidRPr="00403DF5" w:rsidRDefault="00E86A7E" w:rsidP="00E86A7E">
      <w:pPr>
        <w:pStyle w:val="BodyText"/>
        <w:spacing w:before="240" w:after="240"/>
        <w:ind w:left="831" w:right="152"/>
        <w:jc w:val="both"/>
        <w:rPr>
          <w:rFonts w:ascii="Arial" w:hAnsi="Arial" w:cs="Arial"/>
          <w:color w:val="000000"/>
          <w:sz w:val="22"/>
          <w:szCs w:val="22"/>
          <w:lang w:val="en-ZA"/>
        </w:rPr>
      </w:pPr>
      <w:r w:rsidRPr="00403DF5">
        <w:rPr>
          <w:rFonts w:ascii="Arial" w:hAnsi="Arial" w:cs="Arial"/>
          <w:color w:val="000000"/>
          <w:sz w:val="22"/>
          <w:szCs w:val="22"/>
          <w:lang w:val="en-ZA"/>
        </w:rPr>
        <w:t>In awarding costs, the court would have regard to the level of experience of the SARS staff involved and the usual limits on cost recovery would apply. Barring SARS from recovering costs in respect of its internal resources implicitly encourages the use of external attorneys and counsel, where costs are recoverable, leading to additional costs for taxpayers in the majority of cases where SARS is successful.</w:t>
      </w:r>
    </w:p>
    <w:p w14:paraId="7849D96F" w14:textId="77777777" w:rsidR="00E86A7E" w:rsidRPr="00403DF5" w:rsidRDefault="00E86A7E" w:rsidP="00E86A7E">
      <w:pPr>
        <w:pStyle w:val="BodyText"/>
        <w:spacing w:before="240" w:after="240"/>
        <w:ind w:left="831" w:right="152"/>
        <w:jc w:val="both"/>
        <w:rPr>
          <w:rFonts w:ascii="Arial" w:hAnsi="Arial" w:cs="Arial"/>
          <w:color w:val="000000"/>
          <w:sz w:val="22"/>
          <w:szCs w:val="22"/>
          <w:lang w:val="en-ZA"/>
        </w:rPr>
      </w:pPr>
      <w:r w:rsidRPr="00403DF5">
        <w:rPr>
          <w:rFonts w:ascii="Arial" w:hAnsi="Arial" w:cs="Arial"/>
          <w:color w:val="000000"/>
          <w:sz w:val="22"/>
          <w:szCs w:val="22"/>
          <w:lang w:val="en-ZA"/>
        </w:rPr>
        <w:t xml:space="preserve">The proposed amendment to section 12 of the Tax Administration Act allows a natural person, who is not a legal practitioner, to appear on behalf of the taxpayer in tax court proceedings, should the president of the tax court regard that person as a “fit and proper” person to so represent the taxpayer. The dispute resolution rules will be expanded to prescribe the legal costs that may be recovered by the taxpayer where a natural person who is not a legal practitioner appears on the taxpayer’s behalf. Where a legal practitioner appears on behalf of the taxpayer in the tax court, the legal costs will be recovered in accordance with the Rules of the High Court as is presently the case under section 130 of the Act. </w:t>
      </w:r>
    </w:p>
    <w:p w14:paraId="442780BF" w14:textId="77777777" w:rsidR="00E86A7E" w:rsidRPr="00403DF5" w:rsidRDefault="00E86A7E" w:rsidP="00403DF5">
      <w:pPr>
        <w:pStyle w:val="Heading3"/>
        <w:numPr>
          <w:ilvl w:val="1"/>
          <w:numId w:val="37"/>
        </w:numPr>
        <w:tabs>
          <w:tab w:val="left" w:pos="1134"/>
        </w:tabs>
        <w:spacing w:before="360" w:after="120"/>
        <w:ind w:left="993" w:right="153" w:hanging="567"/>
        <w:jc w:val="both"/>
        <w:rPr>
          <w:sz w:val="22"/>
          <w:szCs w:val="22"/>
          <w:lang w:val="en-ZA"/>
        </w:rPr>
      </w:pPr>
      <w:bookmarkStart w:id="169" w:name="_Toc180420402"/>
      <w:bookmarkStart w:id="170" w:name="_Toc189212153"/>
      <w:r w:rsidRPr="00403DF5">
        <w:rPr>
          <w:sz w:val="22"/>
          <w:szCs w:val="22"/>
          <w:lang w:val="en-ZA"/>
        </w:rPr>
        <w:t>Expanding the provision requiring the presentation of relevant information in person</w:t>
      </w:r>
      <w:bookmarkEnd w:id="169"/>
      <w:bookmarkEnd w:id="170"/>
    </w:p>
    <w:p w14:paraId="3A82EEE3" w14:textId="77777777" w:rsidR="00E86A7E" w:rsidRPr="00403DF5" w:rsidRDefault="00E86A7E" w:rsidP="00E86A7E">
      <w:pPr>
        <w:pStyle w:val="BodyText"/>
        <w:spacing w:before="120" w:after="240"/>
        <w:ind w:left="493" w:right="153"/>
        <w:jc w:val="both"/>
        <w:rPr>
          <w:rFonts w:ascii="Arial" w:hAnsi="Arial" w:cs="Arial"/>
          <w:b/>
          <w:bCs/>
          <w:color w:val="000000"/>
          <w:sz w:val="22"/>
          <w:szCs w:val="22"/>
          <w:lang w:val="en-ZA"/>
        </w:rPr>
      </w:pPr>
      <w:bookmarkStart w:id="171" w:name="_Hlk180070621"/>
      <w:r w:rsidRPr="00403DF5">
        <w:rPr>
          <w:rFonts w:ascii="Arial" w:hAnsi="Arial" w:cs="Arial"/>
          <w:color w:val="000000"/>
          <w:sz w:val="22"/>
          <w:szCs w:val="22"/>
          <w:lang w:val="en-ZA"/>
        </w:rPr>
        <w:t>(Main reference: Section 47 of the Tax Administration Act, 2011; clause 16 of the draft TALAB)</w:t>
      </w:r>
      <w:r w:rsidRPr="00403DF5">
        <w:rPr>
          <w:rFonts w:ascii="Arial" w:hAnsi="Arial" w:cs="Arial"/>
          <w:b/>
          <w:bCs/>
          <w:color w:val="000000"/>
          <w:sz w:val="22"/>
          <w:szCs w:val="22"/>
          <w:lang w:val="en-ZA"/>
        </w:rPr>
        <w:t xml:space="preserve"> </w:t>
      </w:r>
    </w:p>
    <w:bookmarkEnd w:id="171"/>
    <w:p w14:paraId="4C134997" w14:textId="77777777" w:rsidR="00E86A7E" w:rsidRPr="00403DF5" w:rsidRDefault="00E86A7E" w:rsidP="00E86A7E">
      <w:pPr>
        <w:pStyle w:val="BodyText"/>
        <w:spacing w:before="360" w:after="240"/>
        <w:ind w:left="493" w:right="153"/>
        <w:jc w:val="both"/>
        <w:rPr>
          <w:rFonts w:ascii="Arial" w:hAnsi="Arial" w:cs="Arial"/>
          <w:color w:val="000000"/>
          <w:sz w:val="22"/>
          <w:szCs w:val="22"/>
          <w:lang w:val="en-ZA"/>
        </w:rPr>
      </w:pPr>
      <w:r w:rsidRPr="00403DF5">
        <w:rPr>
          <w:rFonts w:ascii="Arial" w:hAnsi="Arial" w:cs="Arial"/>
          <w:i/>
          <w:iCs/>
          <w:color w:val="000000"/>
          <w:sz w:val="22"/>
          <w:szCs w:val="22"/>
          <w:lang w:val="en-ZA"/>
        </w:rPr>
        <w:t>Comment:</w:t>
      </w:r>
      <w:r w:rsidRPr="00403DF5">
        <w:rPr>
          <w:rFonts w:ascii="Arial" w:hAnsi="Arial" w:cs="Arial"/>
          <w:color w:val="000000"/>
          <w:sz w:val="22"/>
          <w:szCs w:val="22"/>
          <w:lang w:val="en-ZA"/>
        </w:rPr>
        <w:t xml:space="preserve"> The provisions of section 47 are already contentious as this section compels responses to SARS officials’ questions under threat of criminal sanction in section 233 without judicial process and is already a “circumvention” of the more formal section 50 Inquiry process.</w:t>
      </w:r>
    </w:p>
    <w:p w14:paraId="1AFAF881" w14:textId="77777777" w:rsidR="00E86A7E" w:rsidRPr="00403DF5" w:rsidRDefault="00E86A7E" w:rsidP="00E86A7E">
      <w:pPr>
        <w:pStyle w:val="BodyText"/>
        <w:spacing w:before="360" w:after="240"/>
        <w:ind w:left="493" w:right="153"/>
        <w:jc w:val="both"/>
        <w:rPr>
          <w:rFonts w:ascii="Arial" w:hAnsi="Arial" w:cs="Arial"/>
          <w:color w:val="000000"/>
          <w:sz w:val="22"/>
          <w:szCs w:val="22"/>
          <w:lang w:val="en-ZA"/>
        </w:rPr>
      </w:pPr>
      <w:r w:rsidRPr="00403DF5">
        <w:rPr>
          <w:rFonts w:ascii="Arial" w:hAnsi="Arial" w:cs="Arial"/>
          <w:color w:val="000000"/>
          <w:sz w:val="22"/>
          <w:szCs w:val="22"/>
          <w:lang w:val="en-ZA"/>
        </w:rPr>
        <w:t xml:space="preserve">Its initial incarnation was therefore specifically limited to verification and audit which is a “relevant information” process. The proposed expansion of this power to “expedite” (i.e. merely makes things faster) recovery of tax is overly broad and highly subjective. It also seems that this proposal lacks appreciation for how invasive this SARS power for taxpayers is and that such invasive powers should be limited where not absolutely necessary. </w:t>
      </w:r>
    </w:p>
    <w:p w14:paraId="291C2DC1" w14:textId="77777777" w:rsidR="00E86A7E" w:rsidRPr="00403DF5" w:rsidRDefault="00E86A7E" w:rsidP="00E86A7E">
      <w:pPr>
        <w:pStyle w:val="BodyText"/>
        <w:spacing w:before="240" w:after="240"/>
        <w:ind w:left="831" w:right="152"/>
        <w:jc w:val="both"/>
        <w:rPr>
          <w:rFonts w:ascii="Arial" w:hAnsi="Arial" w:cs="Arial"/>
          <w:color w:val="000000"/>
          <w:sz w:val="22"/>
          <w:szCs w:val="22"/>
          <w:lang w:val="en-ZA"/>
        </w:rPr>
      </w:pPr>
      <w:r w:rsidRPr="00403DF5">
        <w:rPr>
          <w:rFonts w:ascii="Arial" w:hAnsi="Arial" w:cs="Arial"/>
          <w:i/>
          <w:iCs/>
          <w:color w:val="000000"/>
          <w:sz w:val="22"/>
          <w:szCs w:val="22"/>
          <w:lang w:val="en-ZA"/>
        </w:rPr>
        <w:t xml:space="preserve">Response: </w:t>
      </w:r>
      <w:r w:rsidRPr="00403DF5">
        <w:rPr>
          <w:rFonts w:ascii="Arial" w:hAnsi="Arial" w:cs="Arial"/>
          <w:color w:val="000000"/>
          <w:sz w:val="22"/>
          <w:szCs w:val="22"/>
          <w:u w:val="single"/>
          <w:lang w:val="en-ZA"/>
        </w:rPr>
        <w:t>Partially accepted</w:t>
      </w:r>
      <w:r w:rsidRPr="004325A1">
        <w:rPr>
          <w:rFonts w:ascii="Arial" w:hAnsi="Arial" w:cs="Arial"/>
          <w:color w:val="000000"/>
          <w:sz w:val="22"/>
          <w:szCs w:val="22"/>
          <w:lang w:val="en-ZA"/>
        </w:rPr>
        <w:t>.</w:t>
      </w:r>
      <w:r w:rsidRPr="00403DF5">
        <w:rPr>
          <w:rFonts w:ascii="Arial" w:hAnsi="Arial" w:cs="Arial"/>
          <w:color w:val="000000"/>
          <w:sz w:val="22"/>
          <w:szCs w:val="22"/>
          <w:lang w:val="en-ZA"/>
        </w:rPr>
        <w:t xml:space="preserve"> The proposed amendment has been amended to now only include proceedings where the taxpayer has requested debt relief, which will enable SARS to expedite the relevant proceedings, including a request to amend or withdraw a previous decision by SARS not to give debt relief, to the benefit of both the taxpayer and SARS. These proceedings, as is the case in other jurisdictions with similar interview proceedings, are not judicial proceedings. However, nothing prevents a person from challenging the notice to appear through internal review proceedings, such as under section 9 of the TAA, compliant to the Tax Ombud or seeking relief in a High Court.</w:t>
      </w:r>
    </w:p>
    <w:p w14:paraId="39140421" w14:textId="77777777" w:rsidR="00E86A7E" w:rsidRPr="003F111D" w:rsidRDefault="00E86A7E" w:rsidP="00E86A7E">
      <w:pPr>
        <w:pStyle w:val="BodyText"/>
        <w:spacing w:before="360" w:after="240"/>
        <w:ind w:left="493" w:right="153"/>
        <w:jc w:val="both"/>
        <w:rPr>
          <w:rFonts w:ascii="Arial" w:hAnsi="Arial" w:cs="Arial"/>
          <w:color w:val="000000"/>
          <w:lang w:val="en-ZA"/>
        </w:rPr>
      </w:pPr>
      <w:r w:rsidRPr="00403DF5">
        <w:rPr>
          <w:rFonts w:ascii="Arial" w:hAnsi="Arial" w:cs="Arial"/>
          <w:i/>
          <w:iCs/>
          <w:color w:val="000000"/>
          <w:sz w:val="22"/>
          <w:szCs w:val="22"/>
          <w:lang w:val="en-ZA"/>
        </w:rPr>
        <w:t>Comment:</w:t>
      </w:r>
      <w:r w:rsidRPr="00403DF5">
        <w:rPr>
          <w:rFonts w:ascii="Arial" w:hAnsi="Arial" w:cs="Arial"/>
          <w:color w:val="000000"/>
          <w:sz w:val="22"/>
          <w:szCs w:val="22"/>
          <w:lang w:val="en-ZA"/>
        </w:rPr>
        <w:t xml:space="preserve"> Furthermore, the expansion to administrative matters such as a write-off and taxpayer-initiated processes like compromises is wholly inappropriate and arguably does not meet the reasonability requirements in section 36 of the Constitution. SARS can clearly perform or evaluate both processes without such an invasive power</w:t>
      </w:r>
      <w:r w:rsidRPr="003F111D">
        <w:rPr>
          <w:rFonts w:ascii="Arial" w:hAnsi="Arial" w:cs="Arial"/>
          <w:color w:val="000000"/>
          <w:lang w:val="en-ZA"/>
        </w:rPr>
        <w:t xml:space="preserve">. </w:t>
      </w:r>
    </w:p>
    <w:p w14:paraId="4FEF369C" w14:textId="77777777" w:rsidR="00E86A7E" w:rsidRPr="00403DF5" w:rsidRDefault="00E86A7E" w:rsidP="00E86A7E">
      <w:pPr>
        <w:pStyle w:val="BodyText"/>
        <w:spacing w:before="240" w:after="240"/>
        <w:ind w:left="831" w:right="152"/>
        <w:jc w:val="both"/>
        <w:rPr>
          <w:rFonts w:ascii="Arial" w:hAnsi="Arial" w:cs="Arial"/>
          <w:color w:val="000000"/>
          <w:sz w:val="22"/>
          <w:szCs w:val="22"/>
          <w:lang w:val="en-ZA"/>
        </w:rPr>
      </w:pPr>
      <w:r w:rsidRPr="00403DF5">
        <w:rPr>
          <w:rFonts w:ascii="Arial" w:hAnsi="Arial" w:cs="Arial"/>
          <w:i/>
          <w:iCs/>
          <w:color w:val="000000"/>
          <w:sz w:val="22"/>
          <w:szCs w:val="22"/>
          <w:lang w:val="en-ZA"/>
        </w:rPr>
        <w:t xml:space="preserve">Response: </w:t>
      </w:r>
      <w:r w:rsidRPr="00403DF5">
        <w:rPr>
          <w:rFonts w:ascii="Arial" w:hAnsi="Arial" w:cs="Arial"/>
          <w:color w:val="000000"/>
          <w:sz w:val="22"/>
          <w:szCs w:val="22"/>
          <w:u w:val="single"/>
          <w:lang w:val="en-ZA"/>
        </w:rPr>
        <w:t>Partially accepted</w:t>
      </w:r>
      <w:r w:rsidRPr="004325A1">
        <w:rPr>
          <w:rFonts w:ascii="Arial" w:hAnsi="Arial" w:cs="Arial"/>
          <w:color w:val="000000"/>
          <w:sz w:val="22"/>
          <w:szCs w:val="22"/>
          <w:lang w:val="en-ZA"/>
        </w:rPr>
        <w:t>.</w:t>
      </w:r>
      <w:r w:rsidRPr="00403DF5">
        <w:rPr>
          <w:sz w:val="22"/>
          <w:szCs w:val="22"/>
          <w:lang w:val="en-ZA"/>
        </w:rPr>
        <w:t xml:space="preserve"> </w:t>
      </w:r>
      <w:r w:rsidRPr="00403DF5">
        <w:rPr>
          <w:rFonts w:ascii="Arial" w:hAnsi="Arial" w:cs="Arial"/>
          <w:color w:val="000000"/>
          <w:sz w:val="22"/>
          <w:szCs w:val="22"/>
          <w:lang w:val="en-ZA"/>
        </w:rPr>
        <w:t xml:space="preserve">As is stated in the Memorandum of Objects to the draft Bill, the purpose of section 47 of the Tax Administration Act, is to shorten a verification or audit by providing a process to dispose of the matter through a face-to-face discussion. This avoids unnecessary correspondence and is beneficial to both taxpayers and SARS. </w:t>
      </w:r>
    </w:p>
    <w:p w14:paraId="270EE999" w14:textId="77777777" w:rsidR="00E86A7E" w:rsidRPr="00403DF5" w:rsidRDefault="00E86A7E" w:rsidP="00E86A7E">
      <w:pPr>
        <w:pStyle w:val="BodyText"/>
        <w:spacing w:before="240" w:after="240"/>
        <w:ind w:left="831" w:right="152"/>
        <w:jc w:val="both"/>
        <w:rPr>
          <w:rFonts w:ascii="Arial" w:hAnsi="Arial" w:cs="Arial"/>
          <w:color w:val="000000"/>
          <w:sz w:val="22"/>
          <w:szCs w:val="22"/>
          <w:lang w:val="en-ZA"/>
        </w:rPr>
      </w:pPr>
      <w:r w:rsidRPr="00403DF5">
        <w:rPr>
          <w:rFonts w:ascii="Arial" w:hAnsi="Arial" w:cs="Arial"/>
          <w:color w:val="000000"/>
          <w:sz w:val="22"/>
          <w:szCs w:val="22"/>
          <w:lang w:val="en-ZA"/>
        </w:rPr>
        <w:t xml:space="preserve">The proposed amendment has been amended to now only include proceedings where the taxpayer has requested debt relief, which will enable SARS to resolve and expedite the relevant proceedings to the benefit of both the taxpayer and SARS, which is in line with the intention of the section. </w:t>
      </w:r>
    </w:p>
    <w:p w14:paraId="02244DC8" w14:textId="77777777" w:rsidR="00E86A7E" w:rsidRPr="00403DF5" w:rsidRDefault="00E86A7E" w:rsidP="00E86A7E">
      <w:pPr>
        <w:pStyle w:val="BodyText"/>
        <w:spacing w:before="240" w:after="240"/>
        <w:ind w:left="831" w:right="152"/>
        <w:jc w:val="both"/>
        <w:rPr>
          <w:rFonts w:ascii="Arial" w:hAnsi="Arial" w:cs="Arial"/>
          <w:color w:val="000000"/>
          <w:sz w:val="22"/>
          <w:szCs w:val="22"/>
          <w:lang w:val="en-ZA"/>
        </w:rPr>
      </w:pPr>
      <w:r w:rsidRPr="00403DF5">
        <w:rPr>
          <w:rFonts w:ascii="Arial" w:hAnsi="Arial" w:cs="Arial"/>
          <w:color w:val="000000"/>
          <w:sz w:val="22"/>
          <w:szCs w:val="22"/>
          <w:lang w:val="en-ZA"/>
        </w:rPr>
        <w:t xml:space="preserve">It is unclear on what basis an interview to clarify information provided to SARS by the taxpayer, during proceedings initiated by the taxpayer, will limit a right in terms of the Constitution or bring section 36 of the Constitution relating to the limitation of rights into play. The legislation does not preclude the interviewee from being accompanied by a legal or other professional advisor. This is an existing common law right and hence there is no prejudice to the taxpayer. A section 47 interview at a SARS designated location is by no means unique to South Africa, as such interviews are quite common to other tax authorities, such as the ATO (Australia),  HMRC (UK) and IRS (USA). </w:t>
      </w:r>
    </w:p>
    <w:p w14:paraId="45C891CD" w14:textId="77777777" w:rsidR="00E86A7E" w:rsidRPr="00403DF5" w:rsidRDefault="00E86A7E" w:rsidP="00403DF5">
      <w:pPr>
        <w:pStyle w:val="Heading3"/>
        <w:numPr>
          <w:ilvl w:val="1"/>
          <w:numId w:val="37"/>
        </w:numPr>
        <w:tabs>
          <w:tab w:val="left" w:pos="1134"/>
        </w:tabs>
        <w:spacing w:before="360" w:after="120"/>
        <w:ind w:left="993" w:right="153" w:hanging="567"/>
        <w:jc w:val="both"/>
        <w:rPr>
          <w:sz w:val="22"/>
          <w:szCs w:val="22"/>
          <w:lang w:val="en-ZA"/>
        </w:rPr>
      </w:pPr>
      <w:bookmarkStart w:id="172" w:name="_Toc180420403"/>
      <w:bookmarkStart w:id="173" w:name="_Toc189212154"/>
      <w:r w:rsidRPr="00403DF5">
        <w:rPr>
          <w:sz w:val="22"/>
          <w:szCs w:val="22"/>
          <w:lang w:val="en-ZA"/>
        </w:rPr>
        <w:t>Clarifying provisions relating to original assessments</w:t>
      </w:r>
      <w:bookmarkEnd w:id="172"/>
      <w:bookmarkEnd w:id="173"/>
    </w:p>
    <w:p w14:paraId="3A8E3C64" w14:textId="77777777" w:rsidR="00E86A7E" w:rsidRPr="00403DF5" w:rsidRDefault="00E86A7E" w:rsidP="00E86A7E">
      <w:pPr>
        <w:pStyle w:val="BodyText"/>
        <w:spacing w:before="120" w:after="240"/>
        <w:ind w:left="493" w:right="153"/>
        <w:jc w:val="both"/>
        <w:rPr>
          <w:rFonts w:ascii="Arial" w:hAnsi="Arial" w:cs="Arial"/>
          <w:b/>
          <w:bCs/>
          <w:color w:val="000000"/>
          <w:sz w:val="22"/>
          <w:szCs w:val="22"/>
          <w:lang w:val="en-ZA"/>
        </w:rPr>
      </w:pPr>
      <w:bookmarkStart w:id="174" w:name="_Hlk180070806"/>
      <w:r w:rsidRPr="00403DF5">
        <w:rPr>
          <w:rFonts w:ascii="Arial" w:hAnsi="Arial" w:cs="Arial"/>
          <w:color w:val="000000"/>
          <w:sz w:val="22"/>
          <w:szCs w:val="22"/>
          <w:lang w:val="en-ZA"/>
        </w:rPr>
        <w:t>(Main reference: Section 91 of the Tax Administration Act, 2011; clause 19 of the draft TALAB)</w:t>
      </w:r>
      <w:r w:rsidRPr="00403DF5">
        <w:rPr>
          <w:rFonts w:ascii="Arial" w:hAnsi="Arial" w:cs="Arial"/>
          <w:b/>
          <w:bCs/>
          <w:color w:val="000000"/>
          <w:sz w:val="22"/>
          <w:szCs w:val="22"/>
          <w:lang w:val="en-ZA"/>
        </w:rPr>
        <w:t xml:space="preserve"> </w:t>
      </w:r>
    </w:p>
    <w:bookmarkEnd w:id="174"/>
    <w:p w14:paraId="7DAFADC7" w14:textId="77777777" w:rsidR="00E86A7E" w:rsidRPr="00403DF5" w:rsidRDefault="00E86A7E" w:rsidP="00E86A7E">
      <w:pPr>
        <w:pStyle w:val="BodyText"/>
        <w:spacing w:before="360" w:after="240"/>
        <w:ind w:left="493" w:right="153"/>
        <w:jc w:val="both"/>
        <w:rPr>
          <w:rFonts w:ascii="Arial" w:hAnsi="Arial" w:cs="Arial"/>
          <w:color w:val="000000"/>
          <w:sz w:val="22"/>
          <w:szCs w:val="22"/>
          <w:lang w:val="en-ZA"/>
        </w:rPr>
      </w:pPr>
      <w:r w:rsidRPr="00403DF5">
        <w:rPr>
          <w:rFonts w:ascii="Arial" w:hAnsi="Arial" w:cs="Arial"/>
          <w:i/>
          <w:iCs/>
          <w:color w:val="000000"/>
          <w:sz w:val="22"/>
          <w:szCs w:val="22"/>
          <w:lang w:val="en-ZA"/>
        </w:rPr>
        <w:t>Comment:</w:t>
      </w:r>
      <w:r w:rsidRPr="00403DF5">
        <w:rPr>
          <w:rFonts w:ascii="Arial" w:hAnsi="Arial" w:cs="Arial"/>
          <w:color w:val="000000"/>
          <w:sz w:val="22"/>
          <w:szCs w:val="22"/>
          <w:lang w:val="en-ZA"/>
        </w:rPr>
        <w:t xml:space="preserve"> Proposed amendment seeks to clarify SARS’ power to issue auto-assessments, this being in response to concerns raised that the current legislative framework does not provide for this. We are grateful that there is a proposal to address the concerns raised. However, it is submitted that the current wording of the proposed subsection (4) should be reconsidered. </w:t>
      </w:r>
    </w:p>
    <w:p w14:paraId="57AAA93F" w14:textId="77777777" w:rsidR="00E86A7E" w:rsidRPr="00403DF5" w:rsidRDefault="00E86A7E" w:rsidP="00E86A7E">
      <w:pPr>
        <w:pStyle w:val="BodyText"/>
        <w:spacing w:before="360" w:after="240"/>
        <w:ind w:left="493" w:right="153"/>
        <w:jc w:val="both"/>
        <w:rPr>
          <w:rFonts w:ascii="Arial" w:hAnsi="Arial" w:cs="Arial"/>
          <w:color w:val="000000"/>
          <w:sz w:val="22"/>
          <w:szCs w:val="22"/>
          <w:lang w:val="en-ZA"/>
        </w:rPr>
      </w:pPr>
      <w:r w:rsidRPr="00403DF5">
        <w:rPr>
          <w:rFonts w:ascii="Arial" w:hAnsi="Arial" w:cs="Arial"/>
          <w:color w:val="000000"/>
          <w:sz w:val="22"/>
          <w:szCs w:val="22"/>
          <w:lang w:val="en-ZA"/>
        </w:rPr>
        <w:t xml:space="preserve">In practice, SARS issues auto-assessments in situations where a tax Act may require a taxpayer to submit a return and is not only relevant where there is no obligation to submit. The current wording implies that auto-assessments may be issued only in cases where a tax Act or the Commissioner does not require the taxpayer to submit a return. The wording should be changed to align with what SARS is doing in practice. </w:t>
      </w:r>
    </w:p>
    <w:p w14:paraId="492BBCC3" w14:textId="77777777" w:rsidR="00E86A7E" w:rsidRPr="00403DF5" w:rsidRDefault="00E86A7E" w:rsidP="00E86A7E">
      <w:pPr>
        <w:pStyle w:val="BodyText"/>
        <w:spacing w:before="240" w:after="240"/>
        <w:ind w:left="831" w:right="152"/>
        <w:jc w:val="both"/>
        <w:rPr>
          <w:rFonts w:ascii="Arial" w:hAnsi="Arial" w:cs="Arial"/>
          <w:color w:val="000000"/>
          <w:sz w:val="22"/>
          <w:szCs w:val="22"/>
          <w:lang w:val="en-ZA"/>
        </w:rPr>
      </w:pPr>
      <w:r w:rsidRPr="00403DF5">
        <w:rPr>
          <w:rFonts w:ascii="Arial" w:hAnsi="Arial" w:cs="Arial"/>
          <w:i/>
          <w:iCs/>
          <w:color w:val="000000"/>
          <w:sz w:val="22"/>
          <w:szCs w:val="22"/>
          <w:lang w:val="en-ZA"/>
        </w:rPr>
        <w:t xml:space="preserve">Response: </w:t>
      </w:r>
      <w:r w:rsidRPr="00403DF5">
        <w:rPr>
          <w:rFonts w:ascii="Arial" w:hAnsi="Arial" w:cs="Arial"/>
          <w:color w:val="000000"/>
          <w:sz w:val="22"/>
          <w:szCs w:val="22"/>
          <w:u w:val="single"/>
          <w:lang w:val="en-ZA"/>
        </w:rPr>
        <w:t>Accepted</w:t>
      </w:r>
      <w:r w:rsidRPr="004325A1">
        <w:rPr>
          <w:rFonts w:ascii="Arial" w:hAnsi="Arial" w:cs="Arial"/>
          <w:color w:val="000000"/>
          <w:sz w:val="22"/>
          <w:szCs w:val="22"/>
          <w:lang w:val="en-ZA"/>
        </w:rPr>
        <w:t>.</w:t>
      </w:r>
      <w:r w:rsidRPr="00403DF5">
        <w:rPr>
          <w:rFonts w:ascii="Arial" w:hAnsi="Arial" w:cs="Arial"/>
          <w:color w:val="000000"/>
          <w:sz w:val="22"/>
          <w:szCs w:val="22"/>
          <w:lang w:val="en-ZA"/>
        </w:rPr>
        <w:t xml:space="preserve"> The proposed amendment has been reworded to make it clear that SARS can issue an assessment based on an estimate whether the taxpayer is required to submit a return or not.</w:t>
      </w:r>
    </w:p>
    <w:p w14:paraId="2DF56DBE" w14:textId="77777777" w:rsidR="00E86A7E" w:rsidRPr="00403DF5" w:rsidRDefault="00E86A7E" w:rsidP="00E86A7E">
      <w:pPr>
        <w:pStyle w:val="BodyText"/>
        <w:spacing w:before="360" w:after="240"/>
        <w:ind w:left="493" w:right="153"/>
        <w:jc w:val="both"/>
        <w:rPr>
          <w:rFonts w:ascii="Arial" w:hAnsi="Arial" w:cs="Arial"/>
          <w:color w:val="000000"/>
          <w:sz w:val="22"/>
          <w:szCs w:val="22"/>
          <w:lang w:val="en-ZA"/>
        </w:rPr>
      </w:pPr>
      <w:r w:rsidRPr="00403DF5">
        <w:rPr>
          <w:rFonts w:ascii="Arial" w:hAnsi="Arial" w:cs="Arial"/>
          <w:i/>
          <w:iCs/>
          <w:color w:val="000000"/>
          <w:sz w:val="22"/>
          <w:szCs w:val="22"/>
          <w:lang w:val="en-ZA"/>
        </w:rPr>
        <w:t>Comment:</w:t>
      </w:r>
      <w:r w:rsidRPr="00403DF5">
        <w:rPr>
          <w:rFonts w:ascii="Arial" w:hAnsi="Arial" w:cs="Arial"/>
          <w:color w:val="000000"/>
          <w:sz w:val="22"/>
          <w:szCs w:val="22"/>
          <w:lang w:val="en-ZA"/>
        </w:rPr>
        <w:t xml:space="preserve"> The current proposal, whilst it is welcomed, does not clarify the responsibilities for SARS and the taxpayer in the circumstances where an auto-assessment is issued. SARS does address this in the communication sent to taxpayers who are auto assessed, but we believe that it should be clarified within the legislation. The legislation should clarify roles and responsibilities of taxpayers and SARS where an auto-assessment is issued. </w:t>
      </w:r>
    </w:p>
    <w:p w14:paraId="3B7FD0E4" w14:textId="77777777" w:rsidR="00E86A7E" w:rsidRPr="003F111D" w:rsidRDefault="00E86A7E" w:rsidP="00E86A7E">
      <w:pPr>
        <w:pStyle w:val="BodyText"/>
        <w:spacing w:before="240" w:after="240"/>
        <w:ind w:left="831" w:right="152"/>
        <w:jc w:val="both"/>
        <w:rPr>
          <w:rFonts w:ascii="Arial" w:hAnsi="Arial" w:cs="Arial"/>
          <w:color w:val="000000"/>
          <w:lang w:val="en-ZA"/>
        </w:rPr>
      </w:pPr>
      <w:r w:rsidRPr="00403DF5">
        <w:rPr>
          <w:rFonts w:ascii="Arial" w:hAnsi="Arial" w:cs="Arial"/>
          <w:i/>
          <w:iCs/>
          <w:color w:val="000000"/>
          <w:sz w:val="22"/>
          <w:szCs w:val="22"/>
          <w:lang w:val="en-ZA"/>
        </w:rPr>
        <w:t xml:space="preserve">Response: </w:t>
      </w:r>
      <w:r w:rsidRPr="00403DF5">
        <w:rPr>
          <w:rFonts w:ascii="Arial" w:hAnsi="Arial" w:cs="Arial"/>
          <w:color w:val="000000"/>
          <w:sz w:val="22"/>
          <w:szCs w:val="22"/>
          <w:u w:val="single"/>
          <w:lang w:val="en-ZA"/>
        </w:rPr>
        <w:t>Comment misplaced</w:t>
      </w:r>
      <w:r w:rsidRPr="004325A1">
        <w:rPr>
          <w:rFonts w:ascii="Arial" w:hAnsi="Arial" w:cs="Arial"/>
          <w:color w:val="000000"/>
          <w:sz w:val="22"/>
          <w:szCs w:val="22"/>
          <w:lang w:val="en-ZA"/>
        </w:rPr>
        <w:t>.</w:t>
      </w:r>
      <w:r w:rsidRPr="00403DF5">
        <w:rPr>
          <w:rFonts w:ascii="Arial" w:hAnsi="Arial" w:cs="Arial"/>
          <w:color w:val="000000"/>
          <w:sz w:val="22"/>
          <w:szCs w:val="22"/>
          <w:lang w:val="en-ZA"/>
        </w:rPr>
        <w:t xml:space="preserve"> The roles and responsibilities of SARS and taxpayers are specified in the annual notice to submit returns issued in terms of section 25 of the Tax Administration Act, read with section 66(1) of the Income Tax Act, 1962, and when an auto-assessment is issued in terms of section 95 of the Tax Administration Act</w:t>
      </w:r>
      <w:r w:rsidRPr="003F111D">
        <w:rPr>
          <w:rFonts w:ascii="Arial" w:hAnsi="Arial" w:cs="Arial"/>
          <w:color w:val="000000"/>
          <w:lang w:val="en-ZA"/>
        </w:rPr>
        <w:t xml:space="preserve">. </w:t>
      </w:r>
    </w:p>
    <w:p w14:paraId="317D7D84" w14:textId="77777777" w:rsidR="00E86A7E" w:rsidRPr="00403DF5" w:rsidRDefault="00E86A7E" w:rsidP="00E86A7E">
      <w:pPr>
        <w:pStyle w:val="BodyText"/>
        <w:spacing w:before="360" w:after="240"/>
        <w:ind w:left="493" w:right="153"/>
        <w:jc w:val="both"/>
        <w:rPr>
          <w:rFonts w:ascii="Arial" w:hAnsi="Arial" w:cs="Arial"/>
          <w:color w:val="000000"/>
          <w:sz w:val="22"/>
          <w:szCs w:val="22"/>
          <w:lang w:val="en-ZA"/>
        </w:rPr>
      </w:pPr>
      <w:r w:rsidRPr="00403DF5">
        <w:rPr>
          <w:rFonts w:ascii="Arial" w:hAnsi="Arial" w:cs="Arial"/>
          <w:i/>
          <w:iCs/>
          <w:color w:val="000000"/>
          <w:sz w:val="22"/>
          <w:szCs w:val="22"/>
          <w:lang w:val="en-ZA"/>
        </w:rPr>
        <w:t>Comment:</w:t>
      </w:r>
      <w:r w:rsidRPr="00403DF5">
        <w:rPr>
          <w:rFonts w:ascii="Arial" w:hAnsi="Arial" w:cs="Arial"/>
          <w:color w:val="000000"/>
          <w:sz w:val="22"/>
          <w:szCs w:val="22"/>
          <w:lang w:val="en-ZA"/>
        </w:rPr>
        <w:t xml:space="preserve"> The proposed amendment expands the scope of original assessment to include instances where the “</w:t>
      </w:r>
      <w:r w:rsidRPr="00403DF5">
        <w:rPr>
          <w:rFonts w:ascii="Arial" w:hAnsi="Arial" w:cs="Arial"/>
          <w:i/>
          <w:iCs/>
          <w:color w:val="000000"/>
          <w:sz w:val="22"/>
          <w:szCs w:val="22"/>
          <w:lang w:val="en-ZA"/>
        </w:rPr>
        <w:t>taxpayer voluntarily submits a return</w:t>
      </w:r>
      <w:r w:rsidRPr="00403DF5">
        <w:rPr>
          <w:rFonts w:ascii="Arial" w:hAnsi="Arial" w:cs="Arial"/>
          <w:color w:val="000000"/>
          <w:sz w:val="22"/>
          <w:szCs w:val="22"/>
          <w:lang w:val="en-ZA"/>
        </w:rPr>
        <w:t xml:space="preserve">”. All returns are submitted by taxpayers under legal compulsion or direction by the CSARS and it is unclear in which circumstances a taxpayer will “voluntarily submit a return”. Auto assessed returns are not submitted voluntarily as they are compelled by section 95(6) of the Tax Administration Act, 2011. The submission of a return is the only procedure available to a taxpayer to correct or amend an estimated assessment, issued by SARS unilaterally, where the taxpayer does not agree with such auto-assessment. </w:t>
      </w:r>
    </w:p>
    <w:p w14:paraId="3644FDC1" w14:textId="77777777" w:rsidR="00E86A7E" w:rsidRPr="00403DF5" w:rsidRDefault="00E86A7E" w:rsidP="00E86A7E">
      <w:pPr>
        <w:pStyle w:val="BodyText"/>
        <w:spacing w:before="360" w:after="240"/>
        <w:ind w:left="493" w:right="153"/>
        <w:jc w:val="both"/>
        <w:rPr>
          <w:rFonts w:ascii="Arial" w:hAnsi="Arial" w:cs="Arial"/>
          <w:color w:val="000000"/>
          <w:sz w:val="22"/>
          <w:szCs w:val="22"/>
          <w:lang w:val="en-ZA"/>
        </w:rPr>
      </w:pPr>
      <w:r w:rsidRPr="00403DF5">
        <w:rPr>
          <w:rFonts w:ascii="Arial" w:hAnsi="Arial" w:cs="Arial"/>
          <w:color w:val="000000"/>
          <w:sz w:val="22"/>
          <w:szCs w:val="22"/>
          <w:lang w:val="en-ZA"/>
        </w:rPr>
        <w:t xml:space="preserve">The expansion of section 91 to include instances where a </w:t>
      </w:r>
      <w:r w:rsidRPr="00403DF5">
        <w:rPr>
          <w:rFonts w:ascii="Arial" w:hAnsi="Arial" w:cs="Arial"/>
          <w:i/>
          <w:iCs/>
          <w:color w:val="000000"/>
          <w:sz w:val="22"/>
          <w:szCs w:val="22"/>
          <w:lang w:val="en-ZA"/>
        </w:rPr>
        <w:t>“taxpayer voluntarily submits a return</w:t>
      </w:r>
      <w:r w:rsidRPr="00403DF5">
        <w:rPr>
          <w:rFonts w:ascii="Arial" w:hAnsi="Arial" w:cs="Arial"/>
          <w:color w:val="000000"/>
          <w:sz w:val="22"/>
          <w:szCs w:val="22"/>
          <w:lang w:val="en-ZA"/>
        </w:rPr>
        <w:t xml:space="preserve">” should be deleted as there are no such returns. </w:t>
      </w:r>
    </w:p>
    <w:p w14:paraId="0FC7B5ED" w14:textId="77777777" w:rsidR="00E86A7E" w:rsidRPr="00403DF5" w:rsidRDefault="00E86A7E" w:rsidP="00E86A7E">
      <w:pPr>
        <w:pStyle w:val="BodyText"/>
        <w:spacing w:before="240" w:after="240"/>
        <w:ind w:left="831" w:right="152"/>
        <w:jc w:val="both"/>
        <w:rPr>
          <w:rFonts w:ascii="Arial" w:hAnsi="Arial" w:cs="Arial"/>
          <w:color w:val="000000"/>
          <w:sz w:val="22"/>
          <w:szCs w:val="22"/>
          <w:lang w:val="en-ZA"/>
        </w:rPr>
      </w:pPr>
      <w:r w:rsidRPr="00403DF5">
        <w:rPr>
          <w:rFonts w:ascii="Arial" w:hAnsi="Arial" w:cs="Arial"/>
          <w:i/>
          <w:iCs/>
          <w:color w:val="000000"/>
          <w:sz w:val="22"/>
          <w:szCs w:val="22"/>
          <w:lang w:val="en-ZA"/>
        </w:rPr>
        <w:t xml:space="preserve">Response: </w:t>
      </w:r>
      <w:r w:rsidRPr="00403DF5">
        <w:rPr>
          <w:rFonts w:ascii="Arial" w:hAnsi="Arial" w:cs="Arial"/>
          <w:color w:val="000000"/>
          <w:sz w:val="22"/>
          <w:szCs w:val="22"/>
          <w:u w:val="single"/>
          <w:lang w:val="en-ZA"/>
        </w:rPr>
        <w:t>Comment misplaced</w:t>
      </w:r>
      <w:r w:rsidRPr="004325A1">
        <w:rPr>
          <w:rFonts w:ascii="Arial" w:hAnsi="Arial" w:cs="Arial"/>
          <w:color w:val="000000"/>
          <w:sz w:val="22"/>
          <w:szCs w:val="22"/>
          <w:lang w:val="en-ZA"/>
        </w:rPr>
        <w:t>.</w:t>
      </w:r>
      <w:r w:rsidRPr="00403DF5">
        <w:rPr>
          <w:rFonts w:ascii="Arial" w:hAnsi="Arial" w:cs="Arial"/>
          <w:color w:val="000000"/>
          <w:sz w:val="22"/>
          <w:szCs w:val="22"/>
          <w:lang w:val="en-ZA"/>
        </w:rPr>
        <w:t xml:space="preserve"> Section 66(5A) of the Income Tax Act, 1962, has long made provision for the voluntary submission of a return and provides that any person who is not required to furnish a return in respect of any year of assessment in terms of the Act, may for the purpose of having that person’s liability for normal tax determined on assessment furnish such a return within three years after the end of such year of assessment.</w:t>
      </w:r>
    </w:p>
    <w:p w14:paraId="7B9AEC48" w14:textId="77777777" w:rsidR="00E86A7E" w:rsidRPr="00403DF5" w:rsidRDefault="00E86A7E" w:rsidP="00E86A7E">
      <w:pPr>
        <w:pStyle w:val="BodyText"/>
        <w:spacing w:before="360" w:after="240"/>
        <w:ind w:left="493" w:right="153"/>
        <w:jc w:val="both"/>
        <w:rPr>
          <w:rFonts w:ascii="Arial" w:hAnsi="Arial" w:cs="Arial"/>
          <w:color w:val="000000"/>
          <w:sz w:val="22"/>
          <w:szCs w:val="22"/>
          <w:lang w:val="en-ZA"/>
        </w:rPr>
      </w:pPr>
      <w:r w:rsidRPr="00403DF5">
        <w:rPr>
          <w:rFonts w:ascii="Arial" w:hAnsi="Arial" w:cs="Arial"/>
          <w:i/>
          <w:iCs/>
          <w:color w:val="000000"/>
          <w:sz w:val="22"/>
          <w:szCs w:val="22"/>
          <w:lang w:val="en-ZA"/>
        </w:rPr>
        <w:t>Comment:</w:t>
      </w:r>
      <w:r w:rsidRPr="00403DF5">
        <w:rPr>
          <w:rFonts w:ascii="Arial" w:hAnsi="Arial" w:cs="Arial"/>
          <w:color w:val="000000"/>
          <w:sz w:val="22"/>
          <w:szCs w:val="22"/>
          <w:lang w:val="en-ZA"/>
        </w:rPr>
        <w:t xml:space="preserve"> Our concerns regarding SARS using section 95 as the basis for introducing and implementing the auto-assessment regime remains as per our previous submissions, since there are fundamental issues with SARS’ approach to “correcting” an avoidance and compulsion section to also apply to a normal compliance process. </w:t>
      </w:r>
    </w:p>
    <w:p w14:paraId="0167864A" w14:textId="77777777" w:rsidR="00E86A7E" w:rsidRPr="00403DF5" w:rsidRDefault="00E86A7E" w:rsidP="00E86A7E">
      <w:pPr>
        <w:pStyle w:val="BodyText"/>
        <w:spacing w:before="240" w:after="240"/>
        <w:ind w:left="831" w:right="152"/>
        <w:jc w:val="both"/>
        <w:rPr>
          <w:rFonts w:ascii="Arial" w:hAnsi="Arial" w:cs="Arial"/>
          <w:color w:val="000000"/>
          <w:sz w:val="22"/>
          <w:szCs w:val="22"/>
          <w:lang w:val="en-ZA"/>
        </w:rPr>
      </w:pPr>
      <w:r w:rsidRPr="00403DF5">
        <w:rPr>
          <w:rFonts w:ascii="Arial" w:hAnsi="Arial" w:cs="Arial"/>
          <w:i/>
          <w:iCs/>
          <w:color w:val="000000"/>
          <w:sz w:val="22"/>
          <w:szCs w:val="22"/>
          <w:lang w:val="en-ZA"/>
        </w:rPr>
        <w:t>Response:</w:t>
      </w:r>
      <w:r w:rsidRPr="00403DF5">
        <w:rPr>
          <w:rFonts w:ascii="Arial" w:hAnsi="Arial" w:cs="Arial"/>
          <w:color w:val="000000"/>
          <w:sz w:val="22"/>
          <w:szCs w:val="22"/>
          <w:lang w:val="en-ZA"/>
        </w:rPr>
        <w:t xml:space="preserve"> </w:t>
      </w:r>
      <w:r w:rsidRPr="00403DF5">
        <w:rPr>
          <w:rFonts w:ascii="Arial" w:hAnsi="Arial" w:cs="Arial"/>
          <w:color w:val="000000"/>
          <w:sz w:val="22"/>
          <w:szCs w:val="22"/>
          <w:u w:val="single"/>
          <w:lang w:val="en-ZA"/>
        </w:rPr>
        <w:t>Not accepted</w:t>
      </w:r>
      <w:r w:rsidRPr="00403DF5">
        <w:rPr>
          <w:rFonts w:ascii="Arial" w:hAnsi="Arial" w:cs="Arial"/>
          <w:color w:val="000000"/>
          <w:sz w:val="22"/>
          <w:szCs w:val="22"/>
          <w:lang w:val="en-ZA"/>
        </w:rPr>
        <w:t>. In 2020, SARS launched the auto-assessment initiative on a wide scale. SARS issued simplified prepopulated returns to taxpayers based on third- party data sufficient for this purpose, available to SARS. These taxpayers were afforded the option to either accept or reject the prepopulated returns to facilitate ease of compliance.</w:t>
      </w:r>
    </w:p>
    <w:p w14:paraId="7B97695F" w14:textId="77777777" w:rsidR="00E86A7E" w:rsidRPr="00403DF5" w:rsidRDefault="00E86A7E" w:rsidP="00E86A7E">
      <w:pPr>
        <w:pStyle w:val="BodyText"/>
        <w:spacing w:before="240" w:after="240"/>
        <w:ind w:left="831" w:right="152"/>
        <w:jc w:val="both"/>
        <w:rPr>
          <w:rFonts w:ascii="Arial" w:hAnsi="Arial" w:cs="Arial"/>
          <w:color w:val="000000"/>
          <w:sz w:val="22"/>
          <w:szCs w:val="22"/>
          <w:lang w:val="en-ZA"/>
        </w:rPr>
      </w:pPr>
      <w:r w:rsidRPr="00403DF5">
        <w:rPr>
          <w:rFonts w:ascii="Arial" w:hAnsi="Arial" w:cs="Arial"/>
          <w:color w:val="000000"/>
          <w:sz w:val="22"/>
          <w:szCs w:val="22"/>
          <w:lang w:val="en-ZA"/>
        </w:rPr>
        <w:t xml:space="preserve">Acceptance of the prepopulated return would lead to an original assessment being issued by SARS, whereas the rejection of the prepopulated return would require the taxpayer to submit a full return containing the correct information as determined by the taxpayer, with an original assessment subsequently being issued by SARS based on the return submitted by the taxpayer. </w:t>
      </w:r>
    </w:p>
    <w:p w14:paraId="7AB24CF5" w14:textId="77777777" w:rsidR="00E86A7E" w:rsidRPr="00403DF5" w:rsidRDefault="00E86A7E" w:rsidP="00E86A7E">
      <w:pPr>
        <w:pStyle w:val="BodyText"/>
        <w:spacing w:before="240" w:after="240"/>
        <w:ind w:left="831" w:right="152"/>
        <w:jc w:val="both"/>
        <w:rPr>
          <w:rFonts w:ascii="Arial" w:hAnsi="Arial" w:cs="Arial"/>
          <w:color w:val="000000"/>
          <w:sz w:val="22"/>
          <w:szCs w:val="22"/>
          <w:lang w:val="en-ZA"/>
        </w:rPr>
      </w:pPr>
      <w:r w:rsidRPr="00403DF5">
        <w:rPr>
          <w:rFonts w:ascii="Arial" w:hAnsi="Arial" w:cs="Arial"/>
          <w:color w:val="000000"/>
          <w:sz w:val="22"/>
          <w:szCs w:val="22"/>
          <w:lang w:val="en-ZA"/>
        </w:rPr>
        <w:t>As explained in the Memorandum of Objects of the Tax Administration Laws Amendment Act, 2020, the set of amendments introduced at the time created a framework for SARS to make an estimated assessment where no return is required or there is no failure to pay tax, to support and further enhance the auto-assessment initiative. It is clear that these amendments enable SARS to also make assessments based on estimations where no tax is due, or a refund is due to the taxpayer.</w:t>
      </w:r>
    </w:p>
    <w:p w14:paraId="253F4A84" w14:textId="77777777" w:rsidR="00E86A7E" w:rsidRPr="00403DF5" w:rsidRDefault="00E86A7E" w:rsidP="00E86A7E">
      <w:pPr>
        <w:pStyle w:val="BodyText"/>
        <w:widowControl/>
        <w:spacing w:before="240" w:after="240"/>
        <w:ind w:left="833" w:right="153"/>
        <w:jc w:val="both"/>
        <w:rPr>
          <w:rFonts w:ascii="Arial" w:hAnsi="Arial" w:cs="Arial"/>
          <w:color w:val="000000"/>
          <w:sz w:val="22"/>
          <w:szCs w:val="22"/>
          <w:lang w:val="en-ZA"/>
        </w:rPr>
      </w:pPr>
      <w:r w:rsidRPr="00403DF5">
        <w:rPr>
          <w:rFonts w:ascii="Arial" w:hAnsi="Arial" w:cs="Arial"/>
          <w:color w:val="000000"/>
          <w:sz w:val="22"/>
          <w:szCs w:val="22"/>
          <w:lang w:val="en-ZA"/>
        </w:rPr>
        <w:t>This in essence changed the nature of section 95, from a provision where SARS could only issue estimated assessments if a taxpayer failed to submit a return or relevant material as required or owed SARS money, to a more balanced provision where this ability is housed together with the ability of SARS to issue assessments based on estimations to ease the compliance burden on taxpayers of having to submit a return.</w:t>
      </w:r>
    </w:p>
    <w:p w14:paraId="081A7902" w14:textId="77777777" w:rsidR="00E86A7E" w:rsidRPr="00403DF5" w:rsidRDefault="00E86A7E" w:rsidP="00E86A7E">
      <w:pPr>
        <w:pStyle w:val="BodyText"/>
        <w:spacing w:before="240" w:after="240"/>
        <w:ind w:left="831" w:right="152"/>
        <w:jc w:val="both"/>
        <w:rPr>
          <w:rFonts w:ascii="Arial" w:hAnsi="Arial" w:cs="Arial"/>
          <w:color w:val="000000"/>
          <w:sz w:val="22"/>
          <w:szCs w:val="22"/>
          <w:lang w:val="en-ZA"/>
        </w:rPr>
      </w:pPr>
      <w:r w:rsidRPr="00403DF5">
        <w:rPr>
          <w:rFonts w:ascii="Arial" w:hAnsi="Arial" w:cs="Arial"/>
          <w:color w:val="000000"/>
          <w:sz w:val="22"/>
          <w:szCs w:val="22"/>
          <w:lang w:val="en-ZA"/>
        </w:rPr>
        <w:t>In 2021 SARS implemented a pure auto-assessment model instead of the hybrid model of accepting or rejecting a simplified pre-populated return. Under the auto-assessment model, SARS issues an assessment based on an estimation informed by the third-party data sufficient for this purpose available to SARS. Should a taxpayer disagree with the assessment, the taxpayer has the opportunity to submit a return reflecting the correct information. SARS may then issue a reduced or additional assessment, as the case may be, based on the return submitted by the taxpayer. Should SARS decide not to issue a reduced assessment or additional assessment, the taxpayer has the option to object to and, if necessary, appeal the original auto-assessment issued by SARS. The auto-assessment process in no way denies the taxpayer the usual rights and remedies available to the taxpayer.</w:t>
      </w:r>
    </w:p>
    <w:p w14:paraId="7AA0E70A" w14:textId="77777777" w:rsidR="00E86A7E" w:rsidRPr="00403DF5" w:rsidRDefault="00E86A7E" w:rsidP="00E86A7E">
      <w:pPr>
        <w:pStyle w:val="BodyText"/>
        <w:spacing w:before="240" w:after="240"/>
        <w:ind w:left="831" w:right="152"/>
        <w:jc w:val="both"/>
        <w:rPr>
          <w:rFonts w:ascii="Arial" w:hAnsi="Arial" w:cs="Arial"/>
          <w:color w:val="000000"/>
          <w:sz w:val="22"/>
          <w:szCs w:val="22"/>
          <w:lang w:val="en-ZA"/>
        </w:rPr>
      </w:pPr>
      <w:r w:rsidRPr="00403DF5">
        <w:rPr>
          <w:rFonts w:ascii="Arial" w:hAnsi="Arial" w:cs="Arial"/>
          <w:color w:val="000000"/>
          <w:sz w:val="22"/>
          <w:szCs w:val="22"/>
          <w:lang w:val="en-ZA"/>
        </w:rPr>
        <w:t xml:space="preserve">From the discussion above, it is clear that section 95 is no longer a compulsion and avoidance provision alone. To include auto-assessments in the framework of section 95 was a service orientated policy decision that relieves the administrative burden of taxpayers who previously had to file returns. </w:t>
      </w:r>
    </w:p>
    <w:p w14:paraId="09CC5602" w14:textId="77777777" w:rsidR="00E86A7E" w:rsidRPr="00403DF5" w:rsidRDefault="00E86A7E" w:rsidP="00403DF5">
      <w:pPr>
        <w:pStyle w:val="Heading3"/>
        <w:numPr>
          <w:ilvl w:val="1"/>
          <w:numId w:val="37"/>
        </w:numPr>
        <w:tabs>
          <w:tab w:val="left" w:pos="1134"/>
        </w:tabs>
        <w:spacing w:before="360" w:after="120"/>
        <w:ind w:left="993" w:right="153" w:hanging="567"/>
        <w:jc w:val="both"/>
        <w:rPr>
          <w:sz w:val="22"/>
          <w:szCs w:val="22"/>
          <w:lang w:val="en-ZA"/>
        </w:rPr>
      </w:pPr>
      <w:bookmarkStart w:id="175" w:name="_Toc180420404"/>
      <w:bookmarkStart w:id="176" w:name="_Toc189212155"/>
      <w:r w:rsidRPr="00403DF5">
        <w:rPr>
          <w:sz w:val="22"/>
          <w:szCs w:val="22"/>
          <w:lang w:val="en-ZA"/>
        </w:rPr>
        <w:t>Introduction of alternative dispute resolution proceedings at the objection stage of a dispute</w:t>
      </w:r>
      <w:bookmarkEnd w:id="175"/>
      <w:bookmarkEnd w:id="176"/>
    </w:p>
    <w:p w14:paraId="7F0C4970" w14:textId="77777777" w:rsidR="00E86A7E" w:rsidRPr="00403DF5" w:rsidRDefault="00E86A7E" w:rsidP="00E86A7E">
      <w:pPr>
        <w:pStyle w:val="BodyText"/>
        <w:spacing w:before="120" w:after="240"/>
        <w:ind w:left="493" w:right="153"/>
        <w:jc w:val="both"/>
        <w:rPr>
          <w:rFonts w:ascii="Arial" w:hAnsi="Arial" w:cs="Arial"/>
          <w:b/>
          <w:bCs/>
          <w:color w:val="000000"/>
          <w:sz w:val="22"/>
          <w:szCs w:val="22"/>
          <w:lang w:val="en-ZA"/>
        </w:rPr>
      </w:pPr>
      <w:r w:rsidRPr="00403DF5">
        <w:rPr>
          <w:rFonts w:ascii="Arial" w:hAnsi="Arial" w:cs="Arial"/>
          <w:color w:val="000000"/>
          <w:sz w:val="22"/>
          <w:szCs w:val="22"/>
          <w:lang w:val="en-ZA"/>
        </w:rPr>
        <w:t>(Main reference: Section 104 of the Tax Administration Act, 2011; clause 20 of the draft TALAB)</w:t>
      </w:r>
      <w:r w:rsidRPr="00403DF5">
        <w:rPr>
          <w:rFonts w:ascii="Arial" w:hAnsi="Arial" w:cs="Arial"/>
          <w:b/>
          <w:bCs/>
          <w:color w:val="000000"/>
          <w:sz w:val="22"/>
          <w:szCs w:val="22"/>
          <w:lang w:val="en-ZA"/>
        </w:rPr>
        <w:t xml:space="preserve"> </w:t>
      </w:r>
    </w:p>
    <w:p w14:paraId="156A4F2B" w14:textId="77777777" w:rsidR="00E86A7E" w:rsidRPr="00403DF5" w:rsidRDefault="00E86A7E" w:rsidP="00E86A7E">
      <w:pPr>
        <w:pStyle w:val="BodyText"/>
        <w:spacing w:before="360" w:after="240"/>
        <w:ind w:left="493" w:right="153"/>
        <w:jc w:val="both"/>
        <w:rPr>
          <w:rFonts w:ascii="Arial" w:hAnsi="Arial" w:cs="Arial"/>
          <w:color w:val="000000"/>
          <w:sz w:val="22"/>
          <w:szCs w:val="22"/>
          <w:lang w:val="en-ZA"/>
        </w:rPr>
      </w:pPr>
      <w:r w:rsidRPr="00403DF5">
        <w:rPr>
          <w:rFonts w:ascii="Arial" w:hAnsi="Arial" w:cs="Arial"/>
          <w:i/>
          <w:iCs/>
          <w:color w:val="000000"/>
          <w:sz w:val="22"/>
          <w:szCs w:val="22"/>
          <w:lang w:val="en-ZA"/>
        </w:rPr>
        <w:t>Comment:</w:t>
      </w:r>
      <w:r w:rsidRPr="00403DF5">
        <w:rPr>
          <w:rFonts w:ascii="Arial" w:hAnsi="Arial" w:cs="Arial"/>
          <w:color w:val="000000"/>
          <w:sz w:val="22"/>
          <w:szCs w:val="22"/>
          <w:lang w:val="en-ZA"/>
        </w:rPr>
        <w:t xml:space="preserve"> The amendment is a positive step reflecting SARS and National Treasury’s responsiveness, but clarity is required on the mechanics and implications to protect taxpayers’ rights and avoid procedural delays. </w:t>
      </w:r>
    </w:p>
    <w:p w14:paraId="2A6BD34E" w14:textId="77777777" w:rsidR="00E86A7E" w:rsidRPr="00403DF5" w:rsidRDefault="00E86A7E" w:rsidP="00E86A7E">
      <w:pPr>
        <w:pStyle w:val="BodyText"/>
        <w:spacing w:before="240" w:after="240"/>
        <w:ind w:left="831" w:right="152"/>
        <w:jc w:val="both"/>
        <w:rPr>
          <w:rFonts w:ascii="Arial" w:hAnsi="Arial" w:cs="Arial"/>
          <w:color w:val="000000"/>
          <w:sz w:val="22"/>
          <w:szCs w:val="22"/>
          <w:lang w:val="en-ZA"/>
        </w:rPr>
      </w:pPr>
      <w:r w:rsidRPr="00403DF5">
        <w:rPr>
          <w:rFonts w:ascii="Arial" w:hAnsi="Arial" w:cs="Arial"/>
          <w:i/>
          <w:iCs/>
          <w:color w:val="000000"/>
          <w:sz w:val="22"/>
          <w:szCs w:val="22"/>
          <w:lang w:val="en-ZA"/>
        </w:rPr>
        <w:t xml:space="preserve">Response: </w:t>
      </w:r>
      <w:r w:rsidRPr="00403DF5">
        <w:rPr>
          <w:rFonts w:ascii="Arial" w:hAnsi="Arial" w:cs="Arial"/>
          <w:color w:val="000000"/>
          <w:sz w:val="22"/>
          <w:szCs w:val="22"/>
          <w:u w:val="single"/>
          <w:lang w:val="en-ZA"/>
        </w:rPr>
        <w:t>Accepted</w:t>
      </w:r>
      <w:r w:rsidRPr="00403DF5">
        <w:rPr>
          <w:rFonts w:ascii="Arial" w:hAnsi="Arial" w:cs="Arial"/>
          <w:color w:val="000000"/>
          <w:sz w:val="22"/>
          <w:szCs w:val="22"/>
          <w:lang w:val="en-ZA"/>
        </w:rPr>
        <w:t>. The current dispute resolution rules will be reviewed in order to make provision for the introduction of ADR proceedings at the objection phase of the dispute and will also make provision for all the procedural steps in this regard. The proposed amendments to the rules will be circulated for public comment as is usually the case.</w:t>
      </w:r>
    </w:p>
    <w:p w14:paraId="05961109" w14:textId="77777777" w:rsidR="00E86A7E" w:rsidRPr="00403DF5" w:rsidRDefault="00E86A7E" w:rsidP="00E86A7E">
      <w:pPr>
        <w:pStyle w:val="BodyText"/>
        <w:spacing w:before="360" w:after="240"/>
        <w:ind w:left="493" w:right="153"/>
        <w:jc w:val="both"/>
        <w:rPr>
          <w:rFonts w:ascii="Arial" w:hAnsi="Arial" w:cs="Arial"/>
          <w:color w:val="000000"/>
          <w:sz w:val="22"/>
          <w:szCs w:val="22"/>
          <w:lang w:val="en-ZA"/>
        </w:rPr>
      </w:pPr>
      <w:r w:rsidRPr="00403DF5">
        <w:rPr>
          <w:rFonts w:ascii="Arial" w:hAnsi="Arial" w:cs="Arial"/>
          <w:i/>
          <w:iCs/>
          <w:color w:val="000000"/>
          <w:sz w:val="22"/>
          <w:szCs w:val="22"/>
          <w:lang w:val="en-ZA"/>
        </w:rPr>
        <w:t>Comment:</w:t>
      </w:r>
      <w:r w:rsidRPr="00403DF5">
        <w:rPr>
          <w:rFonts w:ascii="Arial" w:hAnsi="Arial" w:cs="Arial"/>
          <w:color w:val="000000"/>
          <w:sz w:val="22"/>
          <w:szCs w:val="22"/>
          <w:lang w:val="en-ZA"/>
        </w:rPr>
        <w:t xml:space="preserve"> The proposed amendments aim to introduce ADR proceedings prior to SARS considering a taxpayer’s objection. Many taxpayers hope that this will assist in ensuring that they have a “new ear” at SARS to consider the matter. However, no draft rules have been issued, but if an approach similar to PART C of the Dispute Rules is followed, then it would be factual issues or SARS system issues i.e. not technical interpretational matters that will be dealt with in this process. The rule regarding 90 days after the proceedings begin may similarly apply, though even at appeal, this process seldom meets this deadline. </w:t>
      </w:r>
    </w:p>
    <w:p w14:paraId="69183480" w14:textId="77777777" w:rsidR="00E86A7E" w:rsidRPr="00403DF5" w:rsidRDefault="00E86A7E" w:rsidP="00E86A7E">
      <w:pPr>
        <w:pStyle w:val="BodyText"/>
        <w:spacing w:before="360" w:after="240"/>
        <w:ind w:left="493" w:right="153"/>
        <w:jc w:val="both"/>
        <w:rPr>
          <w:rFonts w:ascii="Arial" w:hAnsi="Arial" w:cs="Arial"/>
          <w:color w:val="000000"/>
          <w:sz w:val="22"/>
          <w:szCs w:val="22"/>
          <w:lang w:val="en-ZA"/>
        </w:rPr>
      </w:pPr>
      <w:r w:rsidRPr="00403DF5">
        <w:rPr>
          <w:rFonts w:ascii="Arial" w:hAnsi="Arial" w:cs="Arial"/>
          <w:color w:val="000000"/>
          <w:sz w:val="22"/>
          <w:szCs w:val="22"/>
          <w:lang w:val="en-ZA"/>
        </w:rPr>
        <w:t xml:space="preserve">We can unfortunately not support this proposal as we do not believe that it will result in a “new SARS ear” to review the matter and also does not detract from the fact that many of these matters would not arise if the quality of SARS assessments were to improve, including assessments arising due to SARS system challenges. We would have preferred that these operational matters rather be improved than adding another process in law. </w:t>
      </w:r>
    </w:p>
    <w:p w14:paraId="60A2EF1C" w14:textId="77777777" w:rsidR="00E86A7E" w:rsidRPr="00403DF5" w:rsidRDefault="00E86A7E" w:rsidP="00E86A7E">
      <w:pPr>
        <w:pStyle w:val="BodyText"/>
        <w:spacing w:before="240" w:after="240"/>
        <w:ind w:left="831" w:right="152"/>
        <w:jc w:val="both"/>
        <w:rPr>
          <w:rFonts w:ascii="Arial" w:hAnsi="Arial" w:cs="Arial"/>
          <w:color w:val="000000"/>
          <w:sz w:val="22"/>
          <w:szCs w:val="22"/>
          <w:lang w:val="en-ZA"/>
        </w:rPr>
      </w:pPr>
      <w:r w:rsidRPr="00403DF5">
        <w:rPr>
          <w:rFonts w:ascii="Arial" w:hAnsi="Arial" w:cs="Arial"/>
          <w:i/>
          <w:iCs/>
          <w:color w:val="000000"/>
          <w:sz w:val="22"/>
          <w:szCs w:val="22"/>
          <w:lang w:val="en-ZA"/>
        </w:rPr>
        <w:t xml:space="preserve">Response: </w:t>
      </w:r>
      <w:r w:rsidRPr="00403DF5">
        <w:rPr>
          <w:rFonts w:ascii="Arial" w:hAnsi="Arial" w:cs="Arial"/>
          <w:color w:val="000000"/>
          <w:sz w:val="22"/>
          <w:szCs w:val="22"/>
          <w:u w:val="single"/>
          <w:lang w:val="en-ZA"/>
        </w:rPr>
        <w:t>Noted</w:t>
      </w:r>
      <w:r w:rsidRPr="00403DF5">
        <w:rPr>
          <w:rFonts w:ascii="Arial" w:hAnsi="Arial" w:cs="Arial"/>
          <w:color w:val="000000"/>
          <w:sz w:val="22"/>
          <w:szCs w:val="22"/>
          <w:lang w:val="en-ZA"/>
        </w:rPr>
        <w:t xml:space="preserve">. The taxpayer may elect to make use of alternative dispute resolution (ADR) at objection stage. It is not obligatory. In the SARS 2023/24 Annual Report it was stated that 97% of tax appeals were resolved using the ADR process currently available at appeal stage, and 95% in the 2022/23 financial year [page 40]. It is clear that the majority of tax disputes are thus resolved by making use of ADR. </w:t>
      </w:r>
    </w:p>
    <w:p w14:paraId="65BBF27E" w14:textId="77777777" w:rsidR="00E86A7E" w:rsidRPr="00403DF5" w:rsidRDefault="00E86A7E" w:rsidP="00E86A7E">
      <w:pPr>
        <w:pStyle w:val="BodyText"/>
        <w:spacing w:before="240" w:after="240"/>
        <w:ind w:left="831" w:right="152"/>
        <w:jc w:val="both"/>
        <w:rPr>
          <w:rFonts w:ascii="Arial" w:hAnsi="Arial" w:cs="Arial"/>
          <w:color w:val="000000"/>
          <w:sz w:val="22"/>
          <w:szCs w:val="22"/>
          <w:lang w:val="en-ZA"/>
        </w:rPr>
      </w:pPr>
      <w:r w:rsidRPr="00403DF5">
        <w:rPr>
          <w:rFonts w:ascii="Arial" w:hAnsi="Arial" w:cs="Arial"/>
          <w:color w:val="000000"/>
          <w:sz w:val="22"/>
          <w:szCs w:val="22"/>
          <w:lang w:val="en-ZA"/>
        </w:rPr>
        <w:t>Furthermore, comparative research has indicated that many other tax jurisdictions make ADR available at objection stage. This has greatly assisted in the early resolution of disputes, rendering further costly litigation for both parties unnecessary. It is submitted that the introduction of ADR at objection stage will have the same effect and assist taxpayers to attain the early resolution of their disputes without incurring unnecessary legal expenses.</w:t>
      </w:r>
    </w:p>
    <w:p w14:paraId="7652A622" w14:textId="77777777" w:rsidR="00E86A7E" w:rsidRPr="00403DF5" w:rsidRDefault="00E86A7E" w:rsidP="00E86A7E">
      <w:pPr>
        <w:pStyle w:val="BodyText"/>
        <w:spacing w:before="360" w:after="240"/>
        <w:ind w:left="493" w:right="153"/>
        <w:jc w:val="both"/>
        <w:rPr>
          <w:rFonts w:ascii="Arial" w:hAnsi="Arial" w:cs="Arial"/>
          <w:color w:val="000000"/>
          <w:sz w:val="22"/>
          <w:szCs w:val="22"/>
          <w:lang w:val="en-ZA"/>
        </w:rPr>
      </w:pPr>
      <w:r w:rsidRPr="00403DF5">
        <w:rPr>
          <w:rFonts w:ascii="Arial" w:hAnsi="Arial" w:cs="Arial"/>
          <w:i/>
          <w:iCs/>
          <w:color w:val="000000"/>
          <w:sz w:val="22"/>
          <w:szCs w:val="22"/>
          <w:lang w:val="en-ZA"/>
        </w:rPr>
        <w:t>Comment:</w:t>
      </w:r>
      <w:r w:rsidRPr="00403DF5">
        <w:rPr>
          <w:rFonts w:ascii="Arial" w:hAnsi="Arial" w:cs="Arial"/>
          <w:color w:val="000000"/>
          <w:sz w:val="22"/>
          <w:szCs w:val="22"/>
          <w:lang w:val="en-ZA"/>
        </w:rPr>
        <w:t xml:space="preserve"> Proposed amendments is open to abuse by SARS officials who merely want to win time as they can take an unspecified time to “set down” the matter for ADR, then 90 days to finalise the process which also can be extended and then for no good reason, just withdraw and move back to the objection process. SARS officials therefore have to “put nothing on the table” though taxpayers have to still comply with the whole objection process, including the cost and time associated with such process. </w:t>
      </w:r>
    </w:p>
    <w:p w14:paraId="5BBC68CD" w14:textId="77777777" w:rsidR="00E86A7E" w:rsidRPr="00403DF5" w:rsidRDefault="00E86A7E" w:rsidP="00E86A7E">
      <w:pPr>
        <w:pStyle w:val="BodyText"/>
        <w:spacing w:before="240" w:after="240"/>
        <w:ind w:left="831" w:right="152"/>
        <w:jc w:val="both"/>
        <w:rPr>
          <w:rFonts w:ascii="Arial" w:hAnsi="Arial" w:cs="Arial"/>
          <w:color w:val="000000"/>
          <w:sz w:val="22"/>
          <w:szCs w:val="22"/>
          <w:lang w:val="en-ZA"/>
        </w:rPr>
      </w:pPr>
      <w:r w:rsidRPr="00403DF5">
        <w:rPr>
          <w:rFonts w:ascii="Arial" w:hAnsi="Arial" w:cs="Arial"/>
          <w:i/>
          <w:iCs/>
          <w:color w:val="000000"/>
          <w:sz w:val="22"/>
          <w:szCs w:val="22"/>
          <w:lang w:val="en-ZA"/>
        </w:rPr>
        <w:t xml:space="preserve">Response: </w:t>
      </w:r>
      <w:r w:rsidRPr="00403DF5">
        <w:rPr>
          <w:rFonts w:ascii="Arial" w:hAnsi="Arial" w:cs="Arial"/>
          <w:color w:val="000000"/>
          <w:sz w:val="22"/>
          <w:szCs w:val="22"/>
          <w:u w:val="single"/>
          <w:lang w:val="en-ZA"/>
        </w:rPr>
        <w:t>Not accepted</w:t>
      </w:r>
      <w:r w:rsidRPr="00403DF5">
        <w:rPr>
          <w:rFonts w:ascii="Arial" w:hAnsi="Arial" w:cs="Arial"/>
          <w:color w:val="000000"/>
          <w:sz w:val="22"/>
          <w:szCs w:val="22"/>
          <w:lang w:val="en-ZA"/>
        </w:rPr>
        <w:t xml:space="preserve">. The ADR proceedings, whether at the objection or appeal stage of a dispute, are voluntary processes that can be terminated at any time. If the taxpayer is of the view that the proceedings are delaying the finalisation of the taxpayer’s dispute, the taxpayer may terminate the proceedings and move forward to the next stage of dispute resolution. However, if the proceedings are successful, it will significantly shorten the time-period within which the taxpayer’s objection will be finalised. </w:t>
      </w:r>
    </w:p>
    <w:p w14:paraId="660D6373" w14:textId="77777777" w:rsidR="00E86A7E" w:rsidRPr="00403DF5" w:rsidRDefault="00E86A7E" w:rsidP="00E86A7E">
      <w:pPr>
        <w:pStyle w:val="BodyText"/>
        <w:spacing w:before="240" w:after="240"/>
        <w:ind w:left="831" w:right="152"/>
        <w:jc w:val="both"/>
        <w:rPr>
          <w:rFonts w:ascii="Arial" w:hAnsi="Arial" w:cs="Arial"/>
          <w:color w:val="000000"/>
          <w:sz w:val="22"/>
          <w:szCs w:val="22"/>
          <w:lang w:val="en-ZA"/>
        </w:rPr>
      </w:pPr>
      <w:r w:rsidRPr="00403DF5">
        <w:rPr>
          <w:rFonts w:ascii="Arial" w:hAnsi="Arial" w:cs="Arial"/>
          <w:color w:val="000000"/>
          <w:sz w:val="22"/>
          <w:szCs w:val="22"/>
          <w:lang w:val="en-ZA"/>
        </w:rPr>
        <w:t xml:space="preserve">The current dispute resolution rules will be reviewed in order to make provision for the procedural steps and relevant time-periods in this regard. The procedures and time-periods may not necessarily be the same as the current framework for ADR proceedings during the appeal stage of a dispute. The proposed amendments will be circulated for public comment as is usually the case. </w:t>
      </w:r>
    </w:p>
    <w:p w14:paraId="2AAD30F5" w14:textId="77777777" w:rsidR="00E86A7E" w:rsidRPr="00403DF5" w:rsidRDefault="00E86A7E" w:rsidP="00E86A7E">
      <w:pPr>
        <w:pStyle w:val="BodyText"/>
        <w:spacing w:before="360" w:after="240"/>
        <w:ind w:left="493" w:right="153"/>
        <w:jc w:val="both"/>
        <w:rPr>
          <w:rFonts w:ascii="Arial" w:hAnsi="Arial" w:cs="Arial"/>
          <w:color w:val="000000"/>
          <w:sz w:val="22"/>
          <w:szCs w:val="22"/>
          <w:lang w:val="en-ZA"/>
        </w:rPr>
      </w:pPr>
      <w:r w:rsidRPr="00403DF5">
        <w:rPr>
          <w:rFonts w:ascii="Arial" w:hAnsi="Arial" w:cs="Arial"/>
          <w:i/>
          <w:iCs/>
          <w:color w:val="000000"/>
          <w:sz w:val="22"/>
          <w:szCs w:val="22"/>
          <w:lang w:val="en-ZA"/>
        </w:rPr>
        <w:t>Comment:</w:t>
      </w:r>
      <w:r w:rsidRPr="00403DF5">
        <w:rPr>
          <w:rFonts w:ascii="Arial" w:hAnsi="Arial" w:cs="Arial"/>
          <w:color w:val="000000"/>
          <w:sz w:val="22"/>
          <w:szCs w:val="22"/>
          <w:lang w:val="en-ZA"/>
        </w:rPr>
        <w:t xml:space="preserve"> To ensure the effectiveness of this amendment, we recommend that clear, specific timeframes related to the ADR process be updated to align with the proposed expanded process and that the current ADR rules should also be revised to align with the expanded process, ensuring that if proceedings are suspended during ADR, they resume from the point of suspension if ADR is unsuccessful. Furthermore, clarify the procedural steps if the ADR outcome is unfavourable i.e. will a second ADR process be allowed if the taxpayer opts to return to the objection and appeal.</w:t>
      </w:r>
    </w:p>
    <w:p w14:paraId="513BFC59" w14:textId="77777777" w:rsidR="00E86A7E" w:rsidRPr="00403DF5" w:rsidRDefault="00E86A7E" w:rsidP="00E86A7E">
      <w:pPr>
        <w:pStyle w:val="BodyText"/>
        <w:spacing w:before="240" w:after="240"/>
        <w:ind w:left="831" w:right="152"/>
        <w:jc w:val="both"/>
        <w:rPr>
          <w:rFonts w:ascii="Arial" w:hAnsi="Arial" w:cs="Arial"/>
          <w:color w:val="000000"/>
          <w:sz w:val="22"/>
          <w:szCs w:val="22"/>
          <w:lang w:val="en-ZA"/>
        </w:rPr>
      </w:pPr>
      <w:r w:rsidRPr="00403DF5">
        <w:rPr>
          <w:rFonts w:ascii="Arial" w:hAnsi="Arial" w:cs="Arial"/>
          <w:i/>
          <w:iCs/>
          <w:color w:val="000000"/>
          <w:sz w:val="22"/>
          <w:szCs w:val="22"/>
          <w:lang w:val="en-ZA"/>
        </w:rPr>
        <w:t xml:space="preserve">Response: </w:t>
      </w:r>
      <w:r w:rsidRPr="00403DF5">
        <w:rPr>
          <w:rFonts w:ascii="Arial" w:hAnsi="Arial" w:cs="Arial"/>
          <w:color w:val="000000"/>
          <w:sz w:val="22"/>
          <w:szCs w:val="22"/>
          <w:u w:val="single"/>
          <w:lang w:val="en-ZA"/>
        </w:rPr>
        <w:t>Accepted.</w:t>
      </w:r>
      <w:r w:rsidRPr="00403DF5">
        <w:rPr>
          <w:rFonts w:ascii="Arial" w:hAnsi="Arial" w:cs="Arial"/>
          <w:color w:val="000000"/>
          <w:sz w:val="22"/>
          <w:szCs w:val="22"/>
          <w:lang w:val="en-ZA"/>
        </w:rPr>
        <w:t xml:space="preserve"> The current dispute resolution rules will be reviewed in order to make provision for the introduction of ADR proceedings at the objection phase of the dispute and will also make provision for all the procedural steps in this regard.</w:t>
      </w:r>
    </w:p>
    <w:p w14:paraId="054CB7E7" w14:textId="77777777" w:rsidR="00E86A7E" w:rsidRPr="00403DF5" w:rsidRDefault="00E86A7E" w:rsidP="00E86A7E">
      <w:pPr>
        <w:pStyle w:val="BodyText"/>
        <w:spacing w:before="360" w:after="240"/>
        <w:ind w:left="493" w:right="153"/>
        <w:jc w:val="both"/>
        <w:rPr>
          <w:rFonts w:ascii="Arial" w:hAnsi="Arial" w:cs="Arial"/>
          <w:color w:val="000000"/>
          <w:sz w:val="22"/>
          <w:szCs w:val="22"/>
          <w:lang w:val="en-ZA"/>
        </w:rPr>
      </w:pPr>
      <w:r w:rsidRPr="00403DF5">
        <w:rPr>
          <w:rFonts w:ascii="Arial" w:hAnsi="Arial" w:cs="Arial"/>
          <w:i/>
          <w:iCs/>
          <w:color w:val="000000"/>
          <w:sz w:val="22"/>
          <w:szCs w:val="22"/>
          <w:lang w:val="en-ZA"/>
        </w:rPr>
        <w:t>Comment:</w:t>
      </w:r>
      <w:r w:rsidRPr="00403DF5">
        <w:rPr>
          <w:rFonts w:ascii="Arial" w:hAnsi="Arial" w:cs="Arial"/>
          <w:color w:val="000000"/>
          <w:sz w:val="22"/>
          <w:szCs w:val="22"/>
          <w:lang w:val="en-ZA"/>
        </w:rPr>
        <w:t xml:space="preserve"> ADR should be headed by truly independent arbitrators; for neutrality not SARS employees.</w:t>
      </w:r>
    </w:p>
    <w:p w14:paraId="6B37DD07" w14:textId="77777777" w:rsidR="00E86A7E" w:rsidRPr="00403DF5" w:rsidRDefault="00E86A7E" w:rsidP="00E86A7E">
      <w:pPr>
        <w:pStyle w:val="BodyText"/>
        <w:widowControl/>
        <w:spacing w:before="240" w:after="240"/>
        <w:ind w:left="833" w:right="153"/>
        <w:jc w:val="both"/>
        <w:rPr>
          <w:rFonts w:ascii="Arial" w:hAnsi="Arial" w:cs="Arial"/>
          <w:color w:val="000000"/>
          <w:sz w:val="22"/>
          <w:szCs w:val="22"/>
          <w:lang w:val="en-ZA"/>
        </w:rPr>
      </w:pPr>
      <w:r w:rsidRPr="00403DF5">
        <w:rPr>
          <w:rFonts w:ascii="Arial" w:hAnsi="Arial" w:cs="Arial"/>
          <w:i/>
          <w:iCs/>
          <w:color w:val="000000"/>
          <w:sz w:val="22"/>
          <w:szCs w:val="22"/>
          <w:lang w:val="en-ZA"/>
        </w:rPr>
        <w:t xml:space="preserve">Response: </w:t>
      </w:r>
      <w:r w:rsidRPr="00403DF5">
        <w:rPr>
          <w:rFonts w:ascii="Arial" w:hAnsi="Arial" w:cs="Arial"/>
          <w:color w:val="000000"/>
          <w:sz w:val="22"/>
          <w:szCs w:val="22"/>
          <w:u w:val="single"/>
          <w:lang w:val="en-ZA"/>
        </w:rPr>
        <w:t>Noted</w:t>
      </w:r>
      <w:r w:rsidRPr="00403DF5">
        <w:rPr>
          <w:rFonts w:ascii="Arial" w:hAnsi="Arial" w:cs="Arial"/>
          <w:color w:val="000000"/>
          <w:sz w:val="22"/>
          <w:szCs w:val="22"/>
          <w:lang w:val="en-ZA"/>
        </w:rPr>
        <w:t xml:space="preserve">. Current ADR proceedings in terms of the dispute resolution rules are not an arbitration process as indicated by the commentator, but a process of facilitation. Rule 16 of the dispute resolution rules deals with the appointment of the facilitator and provides that a facilitator </w:t>
      </w:r>
      <w:r w:rsidRPr="00403DF5">
        <w:rPr>
          <w:rFonts w:ascii="Arial" w:hAnsi="Arial" w:cs="Arial"/>
          <w:i/>
          <w:iCs/>
          <w:color w:val="000000"/>
          <w:sz w:val="22"/>
          <w:szCs w:val="22"/>
          <w:lang w:val="en-ZA"/>
        </w:rPr>
        <w:t>may</w:t>
      </w:r>
      <w:r w:rsidRPr="00403DF5">
        <w:rPr>
          <w:rFonts w:ascii="Arial" w:hAnsi="Arial" w:cs="Arial"/>
          <w:color w:val="000000"/>
          <w:sz w:val="22"/>
          <w:szCs w:val="22"/>
          <w:lang w:val="en-ZA"/>
        </w:rPr>
        <w:t xml:space="preserve"> be a SARS official, must be a person of good standing who has appropriate experience in the field of tax, and must be acceptable to both parties. In other words, a facilitator is only required to facilitate the ADR proceedings if the parties so agree and the proposed facilitator is acceptable to both parties. </w:t>
      </w:r>
    </w:p>
    <w:p w14:paraId="592733A7" w14:textId="77777777" w:rsidR="00E86A7E" w:rsidRPr="00403DF5" w:rsidRDefault="00E86A7E" w:rsidP="00403DF5">
      <w:pPr>
        <w:pStyle w:val="Heading3"/>
        <w:numPr>
          <w:ilvl w:val="1"/>
          <w:numId w:val="37"/>
        </w:numPr>
        <w:tabs>
          <w:tab w:val="left" w:pos="1134"/>
        </w:tabs>
        <w:spacing w:before="360" w:after="120"/>
        <w:ind w:left="993" w:right="153" w:hanging="567"/>
        <w:jc w:val="both"/>
        <w:rPr>
          <w:sz w:val="22"/>
          <w:szCs w:val="22"/>
          <w:lang w:val="en-ZA"/>
        </w:rPr>
      </w:pPr>
      <w:bookmarkStart w:id="177" w:name="_Toc180420405"/>
      <w:bookmarkStart w:id="178" w:name="_Toc189212156"/>
      <w:r w:rsidRPr="00403DF5">
        <w:rPr>
          <w:sz w:val="22"/>
          <w:szCs w:val="22"/>
          <w:lang w:val="en-ZA"/>
        </w:rPr>
        <w:t>Removing the grace period for a new company to appoint a public officer</w:t>
      </w:r>
      <w:bookmarkEnd w:id="177"/>
      <w:bookmarkEnd w:id="178"/>
    </w:p>
    <w:p w14:paraId="4FF56CE7" w14:textId="77777777" w:rsidR="00E86A7E" w:rsidRPr="00403DF5" w:rsidRDefault="00E86A7E" w:rsidP="00E86A7E">
      <w:pPr>
        <w:pStyle w:val="BodyText"/>
        <w:spacing w:before="120" w:after="240"/>
        <w:ind w:left="493" w:right="153"/>
        <w:jc w:val="both"/>
        <w:rPr>
          <w:rFonts w:ascii="Arial" w:hAnsi="Arial" w:cs="Arial"/>
          <w:b/>
          <w:bCs/>
          <w:color w:val="000000"/>
          <w:sz w:val="22"/>
          <w:szCs w:val="22"/>
          <w:lang w:val="en-ZA"/>
        </w:rPr>
      </w:pPr>
      <w:bookmarkStart w:id="179" w:name="_Hlk180071555"/>
      <w:r w:rsidRPr="00403DF5">
        <w:rPr>
          <w:rFonts w:ascii="Arial" w:hAnsi="Arial" w:cs="Arial"/>
          <w:color w:val="000000"/>
          <w:sz w:val="22"/>
          <w:szCs w:val="22"/>
          <w:lang w:val="en-ZA"/>
        </w:rPr>
        <w:t>(Main reference: Section 246 and 247 of the Tax Administration Act, 2011; clause 25 and 26 of the draft TALAB)</w:t>
      </w:r>
      <w:r w:rsidRPr="00403DF5">
        <w:rPr>
          <w:rFonts w:ascii="Arial" w:hAnsi="Arial" w:cs="Arial"/>
          <w:b/>
          <w:bCs/>
          <w:color w:val="000000"/>
          <w:sz w:val="22"/>
          <w:szCs w:val="22"/>
          <w:lang w:val="en-ZA"/>
        </w:rPr>
        <w:t xml:space="preserve"> </w:t>
      </w:r>
    </w:p>
    <w:bookmarkEnd w:id="179"/>
    <w:p w14:paraId="155FAE97" w14:textId="77777777" w:rsidR="00E86A7E" w:rsidRPr="00403DF5" w:rsidRDefault="00E86A7E" w:rsidP="00E86A7E">
      <w:pPr>
        <w:pStyle w:val="BodyText"/>
        <w:spacing w:before="360" w:after="240"/>
        <w:ind w:left="493" w:right="153"/>
        <w:jc w:val="both"/>
        <w:rPr>
          <w:rFonts w:ascii="Arial" w:hAnsi="Arial" w:cs="Arial"/>
          <w:color w:val="000000"/>
          <w:sz w:val="22"/>
          <w:szCs w:val="22"/>
          <w:lang w:val="en-ZA"/>
        </w:rPr>
      </w:pPr>
      <w:r w:rsidRPr="00403DF5">
        <w:rPr>
          <w:rFonts w:ascii="Arial" w:hAnsi="Arial" w:cs="Arial"/>
          <w:i/>
          <w:iCs/>
          <w:color w:val="000000"/>
          <w:sz w:val="22"/>
          <w:szCs w:val="22"/>
          <w:lang w:val="en-ZA"/>
        </w:rPr>
        <w:t>Comment:</w:t>
      </w:r>
      <w:r w:rsidRPr="00403DF5">
        <w:rPr>
          <w:rFonts w:ascii="Arial" w:hAnsi="Arial" w:cs="Arial"/>
          <w:color w:val="000000"/>
          <w:sz w:val="22"/>
          <w:szCs w:val="22"/>
          <w:lang w:val="en-ZA"/>
        </w:rPr>
        <w:t xml:space="preserve"> The proposed changes to the appointment of public officers are generally welcomed. The removal of the mandatory one-month period for appointing a public officer allows newly formed companies to have their directors and public officers in place at formation. Additionally, the default appointment rule, which designates senior officials as the public officer if one is not appointed during formation, is seen as a positive development.  </w:t>
      </w:r>
    </w:p>
    <w:p w14:paraId="12B99413" w14:textId="77777777" w:rsidR="00E86A7E" w:rsidRDefault="00E86A7E" w:rsidP="00E86A7E">
      <w:pPr>
        <w:pStyle w:val="BodyText"/>
        <w:spacing w:before="360" w:after="240"/>
        <w:ind w:left="493" w:right="153"/>
        <w:jc w:val="both"/>
        <w:rPr>
          <w:rFonts w:ascii="Arial" w:hAnsi="Arial" w:cs="Arial"/>
          <w:color w:val="000000"/>
          <w:sz w:val="22"/>
          <w:szCs w:val="22"/>
          <w:lang w:val="en-ZA"/>
        </w:rPr>
      </w:pPr>
      <w:r w:rsidRPr="00403DF5">
        <w:rPr>
          <w:rFonts w:ascii="Arial" w:hAnsi="Arial" w:cs="Arial"/>
          <w:color w:val="000000"/>
          <w:sz w:val="22"/>
          <w:szCs w:val="22"/>
          <w:lang w:val="en-ZA"/>
        </w:rPr>
        <w:t>However, there are concerns regarding the ability to remove oneself from the role of public officer, especially if automatically appointed. Recent rulings have emphasised greater scrutiny of public officers’ actions, with decisions increasingly subject to judicial review, leading to potential civil and criminal liabilities. This growing risk may deter individuals from accepting the role of public officer.</w:t>
      </w:r>
    </w:p>
    <w:p w14:paraId="56ABD8F3" w14:textId="77777777" w:rsidR="002C3FA2" w:rsidRPr="00403DF5" w:rsidRDefault="002C3FA2" w:rsidP="00E86A7E">
      <w:pPr>
        <w:pStyle w:val="BodyText"/>
        <w:spacing w:before="360" w:after="240"/>
        <w:ind w:left="493" w:right="153"/>
        <w:jc w:val="both"/>
        <w:rPr>
          <w:rFonts w:ascii="Arial" w:hAnsi="Arial" w:cs="Arial"/>
          <w:color w:val="000000"/>
          <w:sz w:val="22"/>
          <w:szCs w:val="22"/>
          <w:lang w:val="en-ZA"/>
        </w:rPr>
      </w:pPr>
    </w:p>
    <w:p w14:paraId="74725FBC" w14:textId="77777777" w:rsidR="00E86A7E" w:rsidRPr="00403DF5" w:rsidRDefault="00E86A7E" w:rsidP="00E86A7E">
      <w:pPr>
        <w:pStyle w:val="BodyText"/>
        <w:spacing w:before="240" w:after="240"/>
        <w:ind w:left="831" w:right="152"/>
        <w:jc w:val="both"/>
        <w:rPr>
          <w:rFonts w:ascii="Arial" w:hAnsi="Arial" w:cs="Arial"/>
          <w:color w:val="000000"/>
          <w:sz w:val="22"/>
          <w:szCs w:val="22"/>
          <w:lang w:val="en-ZA"/>
        </w:rPr>
      </w:pPr>
      <w:r w:rsidRPr="00403DF5">
        <w:rPr>
          <w:rFonts w:ascii="Arial" w:hAnsi="Arial" w:cs="Arial"/>
          <w:i/>
          <w:iCs/>
          <w:color w:val="000000"/>
          <w:sz w:val="22"/>
          <w:szCs w:val="22"/>
          <w:lang w:val="en-ZA"/>
        </w:rPr>
        <w:t xml:space="preserve">Response: </w:t>
      </w:r>
      <w:r w:rsidRPr="00403DF5">
        <w:rPr>
          <w:rFonts w:ascii="Arial" w:hAnsi="Arial" w:cs="Arial"/>
          <w:color w:val="000000"/>
          <w:sz w:val="22"/>
          <w:szCs w:val="22"/>
          <w:u w:val="single"/>
          <w:lang w:val="en-ZA"/>
        </w:rPr>
        <w:t>Noted.</w:t>
      </w:r>
      <w:r w:rsidRPr="00403DF5">
        <w:rPr>
          <w:rFonts w:ascii="Arial" w:hAnsi="Arial" w:cs="Arial"/>
          <w:color w:val="000000"/>
          <w:sz w:val="22"/>
          <w:szCs w:val="22"/>
          <w:lang w:val="en-ZA"/>
        </w:rPr>
        <w:t xml:space="preserve"> The proposed amendments do not envisage a default appointment. If no public officer is appointed at the time of formation, the proposed amendments will treat senior officials of the company, in a hierarchy of seniority, as if they were the public officer of the company until such time as the company has appointed a public officer. It is a deliberate choice to start the list of senior officials with the company directors and secretary since they have fiduciary duties to the company and an extensive set of responsibilities in terms of the Companies Act. These senior officials of the company are in the position to ensure that the company appoints a public officer. As soon as a public officer is duly appointed, the deeming provisions will no longer apply. </w:t>
      </w:r>
    </w:p>
    <w:p w14:paraId="62CFB066" w14:textId="77777777" w:rsidR="00E86A7E" w:rsidRPr="00403DF5" w:rsidRDefault="00E86A7E" w:rsidP="00E86A7E">
      <w:pPr>
        <w:pStyle w:val="BodyText"/>
        <w:spacing w:before="240" w:after="240"/>
        <w:ind w:left="831" w:right="152"/>
        <w:jc w:val="both"/>
        <w:rPr>
          <w:rFonts w:ascii="Arial" w:hAnsi="Arial" w:cs="Arial"/>
          <w:color w:val="000000"/>
          <w:sz w:val="22"/>
          <w:szCs w:val="22"/>
          <w:lang w:val="en-ZA"/>
        </w:rPr>
      </w:pPr>
      <w:r w:rsidRPr="00403DF5">
        <w:rPr>
          <w:rFonts w:ascii="Arial" w:hAnsi="Arial" w:cs="Arial"/>
          <w:color w:val="000000"/>
          <w:sz w:val="22"/>
          <w:szCs w:val="22"/>
          <w:lang w:val="en-ZA"/>
        </w:rPr>
        <w:t xml:space="preserve">Currently, SARS processes allow an outgoing public officer to appoint a new public officer through their company eFiling login profile. </w:t>
      </w:r>
    </w:p>
    <w:p w14:paraId="54AF11B2" w14:textId="77777777" w:rsidR="00E86A7E" w:rsidRPr="00403DF5" w:rsidRDefault="00E86A7E" w:rsidP="00E86A7E">
      <w:pPr>
        <w:pStyle w:val="BodyText"/>
        <w:spacing w:before="360" w:after="240"/>
        <w:ind w:left="493" w:right="153"/>
        <w:jc w:val="both"/>
        <w:rPr>
          <w:rFonts w:ascii="Arial" w:hAnsi="Arial" w:cs="Arial"/>
          <w:color w:val="000000"/>
          <w:sz w:val="22"/>
          <w:szCs w:val="22"/>
          <w:lang w:val="en-ZA"/>
        </w:rPr>
      </w:pPr>
      <w:r w:rsidRPr="00403DF5">
        <w:rPr>
          <w:rFonts w:ascii="Arial" w:hAnsi="Arial" w:cs="Arial"/>
          <w:i/>
          <w:iCs/>
          <w:color w:val="000000"/>
          <w:sz w:val="22"/>
          <w:szCs w:val="22"/>
          <w:lang w:val="en-ZA"/>
        </w:rPr>
        <w:t>Comment:</w:t>
      </w:r>
      <w:r w:rsidRPr="00403DF5">
        <w:rPr>
          <w:rFonts w:ascii="Arial" w:hAnsi="Arial" w:cs="Arial"/>
          <w:color w:val="000000"/>
          <w:sz w:val="22"/>
          <w:szCs w:val="22"/>
          <w:lang w:val="en-ZA"/>
        </w:rPr>
        <w:t xml:space="preserve"> With regards to the default list of who will be considered to be the public officer or where SARS can designate a suitable person to represent the company as public officer, the fairness and commercial viability of the process is queried.</w:t>
      </w:r>
    </w:p>
    <w:p w14:paraId="5B46AEEE" w14:textId="77777777" w:rsidR="00E86A7E" w:rsidRPr="00403DF5" w:rsidRDefault="00E86A7E" w:rsidP="00E86A7E">
      <w:pPr>
        <w:pStyle w:val="BodyText"/>
        <w:spacing w:before="240" w:after="240"/>
        <w:ind w:left="831" w:right="152"/>
        <w:jc w:val="both"/>
        <w:rPr>
          <w:rFonts w:ascii="Arial" w:hAnsi="Arial" w:cs="Arial"/>
          <w:color w:val="000000"/>
          <w:sz w:val="22"/>
          <w:szCs w:val="22"/>
          <w:lang w:val="en-ZA"/>
        </w:rPr>
      </w:pPr>
      <w:r w:rsidRPr="00403DF5">
        <w:rPr>
          <w:rFonts w:ascii="Arial" w:hAnsi="Arial" w:cs="Arial"/>
          <w:i/>
          <w:iCs/>
          <w:color w:val="000000"/>
          <w:sz w:val="22"/>
          <w:szCs w:val="22"/>
          <w:lang w:val="en-ZA"/>
        </w:rPr>
        <w:t xml:space="preserve">Response: </w:t>
      </w:r>
      <w:r w:rsidRPr="00403DF5">
        <w:rPr>
          <w:rFonts w:ascii="Arial" w:hAnsi="Arial" w:cs="Arial"/>
          <w:color w:val="000000"/>
          <w:sz w:val="22"/>
          <w:szCs w:val="22"/>
          <w:u w:val="single"/>
          <w:lang w:val="en-ZA"/>
        </w:rPr>
        <w:t>Comment misplaced</w:t>
      </w:r>
      <w:r w:rsidRPr="00403DF5">
        <w:rPr>
          <w:rFonts w:ascii="Arial" w:hAnsi="Arial" w:cs="Arial"/>
          <w:color w:val="000000"/>
          <w:sz w:val="22"/>
          <w:szCs w:val="22"/>
          <w:lang w:val="en-ZA"/>
        </w:rPr>
        <w:t>.</w:t>
      </w:r>
      <w:r w:rsidRPr="00403DF5">
        <w:rPr>
          <w:rFonts w:ascii="Arial" w:hAnsi="Arial" w:cs="Arial"/>
          <w:i/>
          <w:iCs/>
          <w:color w:val="000000"/>
          <w:sz w:val="22"/>
          <w:szCs w:val="22"/>
          <w:lang w:val="en-ZA"/>
        </w:rPr>
        <w:t xml:space="preserve"> </w:t>
      </w:r>
      <w:r w:rsidRPr="00403DF5">
        <w:rPr>
          <w:rFonts w:ascii="Arial" w:hAnsi="Arial" w:cs="Arial"/>
          <w:color w:val="000000"/>
          <w:sz w:val="22"/>
          <w:szCs w:val="22"/>
          <w:lang w:val="en-ZA"/>
        </w:rPr>
        <w:t xml:space="preserve">The default list or SARS’ power to treat a person as public officer only exists as long as the company has not appointed a public officer. As soon as the company appoints the public officer, that person will assume the responsibilities of the public officer and any person previously treated as the public officer will be relieved of their duties as public officer. </w:t>
      </w:r>
    </w:p>
    <w:p w14:paraId="41B1D56D" w14:textId="26A3833A" w:rsidR="00E86A7E" w:rsidRPr="00403DF5" w:rsidRDefault="004325A1" w:rsidP="00403DF5">
      <w:pPr>
        <w:pStyle w:val="Heading3"/>
        <w:numPr>
          <w:ilvl w:val="1"/>
          <w:numId w:val="37"/>
        </w:numPr>
        <w:tabs>
          <w:tab w:val="left" w:pos="1134"/>
        </w:tabs>
        <w:spacing w:before="360" w:after="120"/>
        <w:ind w:left="993" w:right="153" w:hanging="567"/>
        <w:jc w:val="both"/>
        <w:rPr>
          <w:sz w:val="22"/>
          <w:szCs w:val="22"/>
          <w:lang w:val="en-ZA"/>
        </w:rPr>
      </w:pPr>
      <w:bookmarkStart w:id="180" w:name="_Toc180420406"/>
      <w:r>
        <w:rPr>
          <w:sz w:val="22"/>
          <w:szCs w:val="22"/>
          <w:lang w:val="en-ZA"/>
        </w:rPr>
        <w:t xml:space="preserve"> </w:t>
      </w:r>
      <w:bookmarkStart w:id="181" w:name="_Toc189212157"/>
      <w:r w:rsidR="00E86A7E" w:rsidRPr="00403DF5">
        <w:rPr>
          <w:sz w:val="22"/>
          <w:szCs w:val="22"/>
          <w:lang w:val="en-ZA"/>
        </w:rPr>
        <w:t>Amendments not included in draft Bill released for public comment</w:t>
      </w:r>
      <w:bookmarkEnd w:id="180"/>
      <w:bookmarkEnd w:id="181"/>
    </w:p>
    <w:p w14:paraId="5E557ED4" w14:textId="77777777" w:rsidR="00E86A7E" w:rsidRPr="00403DF5" w:rsidRDefault="00E86A7E" w:rsidP="00E86A7E">
      <w:pPr>
        <w:pStyle w:val="BodyText"/>
        <w:spacing w:before="120" w:after="240"/>
        <w:ind w:left="493" w:right="153"/>
        <w:jc w:val="both"/>
        <w:rPr>
          <w:rFonts w:ascii="Arial" w:hAnsi="Arial" w:cs="Arial"/>
          <w:color w:val="000000"/>
          <w:sz w:val="22"/>
          <w:szCs w:val="22"/>
          <w:lang w:val="en-ZA"/>
        </w:rPr>
      </w:pPr>
      <w:r w:rsidRPr="00403DF5">
        <w:rPr>
          <w:rFonts w:ascii="Arial" w:hAnsi="Arial" w:cs="Arial"/>
          <w:color w:val="000000"/>
          <w:sz w:val="22"/>
          <w:szCs w:val="22"/>
          <w:lang w:val="en-ZA"/>
        </w:rPr>
        <w:t xml:space="preserve">(Main reference: Sections 42A, 51, 110 and 111 of the Tax Administration Act, 2011; new clauses to be added to draft Bill) </w:t>
      </w:r>
    </w:p>
    <w:p w14:paraId="10EF68C1" w14:textId="77777777" w:rsidR="00E86A7E" w:rsidRPr="00403DF5" w:rsidRDefault="00E86A7E" w:rsidP="00E86A7E">
      <w:pPr>
        <w:pStyle w:val="BodyText"/>
        <w:widowControl/>
        <w:spacing w:before="360" w:after="240"/>
        <w:ind w:left="493" w:right="153"/>
        <w:jc w:val="both"/>
        <w:rPr>
          <w:rFonts w:ascii="Arial" w:hAnsi="Arial" w:cs="Arial"/>
          <w:color w:val="000000"/>
          <w:sz w:val="22"/>
          <w:szCs w:val="22"/>
          <w:lang w:val="en-ZA"/>
        </w:rPr>
      </w:pPr>
      <w:r w:rsidRPr="00403DF5">
        <w:rPr>
          <w:rFonts w:ascii="Arial" w:hAnsi="Arial" w:cs="Arial"/>
          <w:color w:val="000000"/>
          <w:sz w:val="22"/>
          <w:szCs w:val="22"/>
          <w:lang w:val="en-ZA"/>
        </w:rPr>
        <w:t xml:space="preserve">The chairperson of the tax board is nominated from a panel compiled by the Minister of Finance in terms of section 111 of the Tax Administration Act. Currently, the panel consists of legal practitioners appointed by the Minister in consultation with the Judge-President of the Division of the High Court with jurisdiction in the area where the tax board is to sit. </w:t>
      </w:r>
    </w:p>
    <w:p w14:paraId="4B927081" w14:textId="77777777" w:rsidR="00E86A7E" w:rsidRPr="00403DF5" w:rsidRDefault="00E86A7E" w:rsidP="00E86A7E">
      <w:pPr>
        <w:pStyle w:val="BodyText"/>
        <w:spacing w:before="360" w:after="240"/>
        <w:ind w:left="493" w:right="153"/>
        <w:jc w:val="both"/>
        <w:rPr>
          <w:rFonts w:ascii="Arial" w:hAnsi="Arial" w:cs="Arial"/>
          <w:color w:val="000000"/>
          <w:sz w:val="22"/>
          <w:szCs w:val="22"/>
          <w:lang w:val="en-ZA"/>
        </w:rPr>
      </w:pPr>
      <w:r w:rsidRPr="00403DF5">
        <w:rPr>
          <w:rFonts w:ascii="Arial" w:hAnsi="Arial" w:cs="Arial"/>
          <w:color w:val="000000"/>
          <w:sz w:val="22"/>
          <w:szCs w:val="22"/>
          <w:lang w:val="en-ZA"/>
        </w:rPr>
        <w:t xml:space="preserve">Workshops held with industry on the draft Bill released for public comment pointed out that restricting persons who may be nominated as a chairperson of the tax board to legal practitioners omits a valuable resource of expertise that is not drawn upon, being registered tax practitioners belonging to a recognised controlling body. </w:t>
      </w:r>
    </w:p>
    <w:p w14:paraId="56317C95" w14:textId="56D3EAAF" w:rsidR="0006654D" w:rsidRDefault="00E86A7E" w:rsidP="00403DF5">
      <w:pPr>
        <w:pStyle w:val="BodyText"/>
        <w:spacing w:before="360" w:after="240"/>
        <w:ind w:left="493" w:right="153"/>
        <w:jc w:val="both"/>
      </w:pPr>
      <w:r w:rsidRPr="00403DF5">
        <w:rPr>
          <w:rFonts w:ascii="Arial" w:hAnsi="Arial" w:cs="Arial"/>
          <w:color w:val="000000"/>
          <w:sz w:val="22"/>
          <w:szCs w:val="22"/>
        </w:rPr>
        <w:t xml:space="preserve">In line with the 2024 Budget Review proposal that </w:t>
      </w:r>
      <w:r w:rsidRPr="00403DF5">
        <w:rPr>
          <w:rFonts w:ascii="Arial" w:hAnsi="Arial" w:cs="Arial"/>
          <w:i/>
          <w:iCs/>
          <w:color w:val="000000"/>
          <w:sz w:val="22"/>
          <w:szCs w:val="22"/>
        </w:rPr>
        <w:t>“SARS review the dispute resolution process to improve its efficiency</w:t>
      </w:r>
      <w:r w:rsidRPr="00403DF5">
        <w:rPr>
          <w:rFonts w:ascii="Arial" w:hAnsi="Arial" w:cs="Arial"/>
          <w:color w:val="000000"/>
          <w:sz w:val="22"/>
          <w:szCs w:val="22"/>
        </w:rPr>
        <w:t>”, it is proposed that section 111 of the Act be amended to include registered tax practitioners who belong to a recognised controlling body under section 240A of the Act, in the panel from which the chairman of the tax board may be appointed, due to their specific expertise in the area of tax. This will require consequential amendments to sections 42A, 51 and 110 of the Act where the competencies of a legal practitioner are specifically required.</w:t>
      </w:r>
    </w:p>
    <w:p w14:paraId="5E4C7BD6" w14:textId="0D19C967" w:rsidR="0006654D" w:rsidRPr="0006654D" w:rsidRDefault="0006654D" w:rsidP="00403DF5">
      <w:pPr>
        <w:tabs>
          <w:tab w:val="left" w:pos="1570"/>
        </w:tabs>
        <w:rPr>
          <w:sz w:val="18"/>
          <w:szCs w:val="18"/>
        </w:rPr>
        <w:sectPr w:rsidR="0006654D" w:rsidRPr="0006654D">
          <w:pgSz w:w="12240" w:h="15840"/>
          <w:pgMar w:top="1400" w:right="1720" w:bottom="1080" w:left="1720" w:header="0" w:footer="891" w:gutter="0"/>
          <w:cols w:space="720"/>
        </w:sectPr>
      </w:pPr>
      <w:r>
        <w:rPr>
          <w:sz w:val="18"/>
          <w:szCs w:val="18"/>
        </w:rPr>
        <w:tab/>
      </w:r>
    </w:p>
    <w:p w14:paraId="3737A7D8" w14:textId="77777777" w:rsidR="00375F5E" w:rsidRPr="00403DF5" w:rsidRDefault="454DE0F2" w:rsidP="251BE3F0">
      <w:pPr>
        <w:spacing w:before="127"/>
        <w:ind w:left="767" w:right="768"/>
        <w:jc w:val="center"/>
        <w:rPr>
          <w:rFonts w:ascii="Arial" w:hAnsi="Arial" w:cs="Arial"/>
          <w:b/>
          <w:bCs/>
        </w:rPr>
      </w:pPr>
      <w:bookmarkStart w:id="182" w:name="_Hlk147981546"/>
      <w:r w:rsidRPr="00403DF5">
        <w:rPr>
          <w:rFonts w:ascii="Arial" w:hAnsi="Arial" w:cs="Arial"/>
          <w:b/>
          <w:bCs/>
          <w:spacing w:val="-1"/>
          <w:u w:val="thick"/>
        </w:rPr>
        <w:t>ANNEXURE</w:t>
      </w:r>
      <w:r w:rsidRPr="00403DF5">
        <w:rPr>
          <w:rFonts w:ascii="Arial" w:hAnsi="Arial" w:cs="Arial"/>
          <w:b/>
          <w:bCs/>
          <w:spacing w:val="-13"/>
          <w:u w:val="thick"/>
        </w:rPr>
        <w:t xml:space="preserve"> </w:t>
      </w:r>
      <w:r w:rsidRPr="00403DF5">
        <w:rPr>
          <w:rFonts w:ascii="Arial" w:hAnsi="Arial" w:cs="Arial"/>
          <w:b/>
          <w:bCs/>
          <w:u w:val="thick"/>
        </w:rPr>
        <w:t>A:</w:t>
      </w:r>
      <w:r w:rsidRPr="00403DF5">
        <w:rPr>
          <w:rFonts w:ascii="Arial" w:hAnsi="Arial" w:cs="Arial"/>
          <w:b/>
          <w:bCs/>
          <w:spacing w:val="-13"/>
          <w:u w:val="thick"/>
        </w:rPr>
        <w:t xml:space="preserve"> </w:t>
      </w:r>
      <w:r w:rsidRPr="00403DF5">
        <w:rPr>
          <w:rFonts w:ascii="Arial" w:hAnsi="Arial" w:cs="Arial"/>
          <w:b/>
          <w:bCs/>
          <w:u w:val="thick"/>
        </w:rPr>
        <w:t>LIST</w:t>
      </w:r>
      <w:r w:rsidRPr="00403DF5">
        <w:rPr>
          <w:rFonts w:ascii="Arial" w:hAnsi="Arial" w:cs="Arial"/>
          <w:b/>
          <w:bCs/>
          <w:spacing w:val="-11"/>
          <w:u w:val="thick"/>
        </w:rPr>
        <w:t xml:space="preserve"> </w:t>
      </w:r>
      <w:r w:rsidRPr="00403DF5">
        <w:rPr>
          <w:rFonts w:ascii="Arial" w:hAnsi="Arial" w:cs="Arial"/>
          <w:b/>
          <w:bCs/>
          <w:u w:val="thick"/>
        </w:rPr>
        <w:t>OF</w:t>
      </w:r>
      <w:r w:rsidRPr="00403DF5">
        <w:rPr>
          <w:rFonts w:ascii="Arial" w:hAnsi="Arial" w:cs="Arial"/>
          <w:b/>
          <w:bCs/>
          <w:spacing w:val="-13"/>
          <w:u w:val="thick"/>
        </w:rPr>
        <w:t xml:space="preserve"> </w:t>
      </w:r>
      <w:r w:rsidRPr="00403DF5">
        <w:rPr>
          <w:rFonts w:ascii="Arial" w:hAnsi="Arial" w:cs="Arial"/>
          <w:b/>
          <w:bCs/>
          <w:u w:val="thick"/>
        </w:rPr>
        <w:t>COMMENTATORS</w:t>
      </w:r>
    </w:p>
    <w:bookmarkEnd w:id="182"/>
    <w:p w14:paraId="6D2EE0E8" w14:textId="77777777" w:rsidR="00375F5E" w:rsidRPr="00403DF5" w:rsidRDefault="00375F5E" w:rsidP="251BE3F0">
      <w:pPr>
        <w:pStyle w:val="BodyText"/>
        <w:rPr>
          <w:rFonts w:ascii="Arial" w:hAnsi="Arial" w:cs="Arial"/>
          <w:b/>
          <w:bCs/>
          <w:sz w:val="22"/>
          <w:szCs w:val="22"/>
          <w:lang w:val="en-ZA"/>
        </w:rPr>
      </w:pPr>
    </w:p>
    <w:p w14:paraId="18E12DBB" w14:textId="77777777" w:rsidR="00125725" w:rsidRPr="00403DF5" w:rsidRDefault="00125725" w:rsidP="251BE3F0">
      <w:pPr>
        <w:spacing w:before="127"/>
        <w:ind w:left="767" w:right="768"/>
        <w:jc w:val="center"/>
        <w:rPr>
          <w:rFonts w:ascii="Arial" w:hAnsi="Arial" w:cs="Arial"/>
          <w:b/>
          <w:bCs/>
          <w:spacing w:val="-1"/>
          <w:u w:val="thick"/>
        </w:rPr>
      </w:pPr>
    </w:p>
    <w:tbl>
      <w:tblPr>
        <w:tblW w:w="5736" w:type="dxa"/>
        <w:tblLook w:val="04A0" w:firstRow="1" w:lastRow="0" w:firstColumn="1" w:lastColumn="0" w:noHBand="0" w:noVBand="1"/>
      </w:tblPr>
      <w:tblGrid>
        <w:gridCol w:w="5736"/>
      </w:tblGrid>
      <w:tr w:rsidR="00707551" w:rsidRPr="006561FF" w14:paraId="1C07239F" w14:textId="77777777" w:rsidTr="003F111D">
        <w:trPr>
          <w:trHeight w:val="290"/>
        </w:trPr>
        <w:tc>
          <w:tcPr>
            <w:tcW w:w="5736" w:type="dxa"/>
            <w:tcBorders>
              <w:top w:val="nil"/>
              <w:left w:val="nil"/>
              <w:bottom w:val="nil"/>
              <w:right w:val="nil"/>
            </w:tcBorders>
            <w:shd w:val="clear" w:color="auto" w:fill="auto"/>
            <w:hideMark/>
          </w:tcPr>
          <w:tbl>
            <w:tblPr>
              <w:tblW w:w="5520" w:type="dxa"/>
              <w:tblCellMar>
                <w:left w:w="0" w:type="dxa"/>
                <w:right w:w="0" w:type="dxa"/>
              </w:tblCellMar>
              <w:tblLook w:val="04A0" w:firstRow="1" w:lastRow="0" w:firstColumn="1" w:lastColumn="0" w:noHBand="0" w:noVBand="1"/>
            </w:tblPr>
            <w:tblGrid>
              <w:gridCol w:w="5520"/>
            </w:tblGrid>
            <w:tr w:rsidR="00707551" w:rsidRPr="006561FF" w14:paraId="22AE5B41" w14:textId="77777777" w:rsidTr="00875BF5">
              <w:trPr>
                <w:trHeight w:val="290"/>
              </w:trPr>
              <w:tc>
                <w:tcPr>
                  <w:tcW w:w="5520" w:type="dxa"/>
                  <w:tcBorders>
                    <w:top w:val="nil"/>
                    <w:left w:val="nil"/>
                    <w:bottom w:val="nil"/>
                    <w:right w:val="nil"/>
                  </w:tcBorders>
                  <w:shd w:val="clear" w:color="auto" w:fill="auto"/>
                  <w:tcMar>
                    <w:top w:w="15" w:type="dxa"/>
                    <w:left w:w="15" w:type="dxa"/>
                    <w:bottom w:w="0" w:type="dxa"/>
                    <w:right w:w="15" w:type="dxa"/>
                  </w:tcMar>
                  <w:vAlign w:val="bottom"/>
                  <w:hideMark/>
                </w:tcPr>
                <w:p w14:paraId="26A1A7C8" w14:textId="77777777" w:rsidR="00707551" w:rsidRPr="00403DF5" w:rsidRDefault="00707551" w:rsidP="003F111D">
                  <w:pPr>
                    <w:pStyle w:val="ListParagraph"/>
                    <w:numPr>
                      <w:ilvl w:val="0"/>
                      <w:numId w:val="80"/>
                    </w:numPr>
                    <w:rPr>
                      <w:rFonts w:eastAsia="Times New Roman"/>
                      <w:color w:val="000000"/>
                    </w:rPr>
                  </w:pPr>
                  <w:r w:rsidRPr="00403DF5">
                    <w:rPr>
                      <w:color w:val="000000"/>
                      <w:lang w:val="en-ZA"/>
                    </w:rPr>
                    <w:t>AJM</w:t>
                  </w:r>
                </w:p>
              </w:tc>
            </w:tr>
            <w:tr w:rsidR="00707551" w:rsidRPr="006561FF" w14:paraId="2489D08F" w14:textId="77777777" w:rsidTr="00875BF5">
              <w:trPr>
                <w:trHeight w:val="310"/>
              </w:trPr>
              <w:tc>
                <w:tcPr>
                  <w:tcW w:w="5520" w:type="dxa"/>
                  <w:tcBorders>
                    <w:top w:val="nil"/>
                    <w:left w:val="nil"/>
                    <w:bottom w:val="nil"/>
                    <w:right w:val="nil"/>
                  </w:tcBorders>
                  <w:shd w:val="clear" w:color="auto" w:fill="auto"/>
                  <w:tcMar>
                    <w:top w:w="15" w:type="dxa"/>
                    <w:left w:w="15" w:type="dxa"/>
                    <w:bottom w:w="0" w:type="dxa"/>
                    <w:right w:w="15" w:type="dxa"/>
                  </w:tcMar>
                  <w:vAlign w:val="bottom"/>
                  <w:hideMark/>
                </w:tcPr>
                <w:p w14:paraId="15EF9DEA" w14:textId="77777777" w:rsidR="00707551" w:rsidRPr="00403DF5" w:rsidRDefault="00707551" w:rsidP="003F111D">
                  <w:pPr>
                    <w:pStyle w:val="ListParagraph"/>
                    <w:numPr>
                      <w:ilvl w:val="0"/>
                      <w:numId w:val="80"/>
                    </w:numPr>
                    <w:rPr>
                      <w:color w:val="000000"/>
                    </w:rPr>
                  </w:pPr>
                  <w:r w:rsidRPr="00403DF5">
                    <w:rPr>
                      <w:color w:val="000000"/>
                      <w:lang w:val="en-ZA"/>
                    </w:rPr>
                    <w:t>Association for Savings and Investment South Africa (ASISA)</w:t>
                  </w:r>
                </w:p>
              </w:tc>
            </w:tr>
            <w:tr w:rsidR="00707551" w:rsidRPr="006561FF" w14:paraId="278664C1" w14:textId="77777777" w:rsidTr="00875BF5">
              <w:trPr>
                <w:trHeight w:val="300"/>
              </w:trPr>
              <w:tc>
                <w:tcPr>
                  <w:tcW w:w="5520" w:type="dxa"/>
                  <w:tcBorders>
                    <w:top w:val="nil"/>
                    <w:left w:val="nil"/>
                    <w:bottom w:val="nil"/>
                    <w:right w:val="nil"/>
                  </w:tcBorders>
                  <w:shd w:val="clear" w:color="auto" w:fill="auto"/>
                  <w:tcMar>
                    <w:top w:w="15" w:type="dxa"/>
                    <w:left w:w="15" w:type="dxa"/>
                    <w:bottom w:w="0" w:type="dxa"/>
                    <w:right w:w="15" w:type="dxa"/>
                  </w:tcMar>
                  <w:vAlign w:val="bottom"/>
                  <w:hideMark/>
                </w:tcPr>
                <w:p w14:paraId="5612BA6A" w14:textId="77777777" w:rsidR="00707551" w:rsidRPr="00403DF5" w:rsidRDefault="00707551" w:rsidP="003F111D">
                  <w:pPr>
                    <w:pStyle w:val="ListParagraph"/>
                    <w:numPr>
                      <w:ilvl w:val="0"/>
                      <w:numId w:val="80"/>
                    </w:numPr>
                    <w:rPr>
                      <w:color w:val="000000"/>
                    </w:rPr>
                  </w:pPr>
                  <w:r w:rsidRPr="00403DF5">
                    <w:rPr>
                      <w:color w:val="000000"/>
                      <w:lang w:val="en-ZA"/>
                    </w:rPr>
                    <w:t>Banking Association South Africa (BASA)</w:t>
                  </w:r>
                </w:p>
              </w:tc>
            </w:tr>
            <w:tr w:rsidR="00707551" w:rsidRPr="006561FF" w14:paraId="03C47311" w14:textId="77777777" w:rsidTr="00875BF5">
              <w:trPr>
                <w:trHeight w:val="290"/>
              </w:trPr>
              <w:tc>
                <w:tcPr>
                  <w:tcW w:w="5520" w:type="dxa"/>
                  <w:tcBorders>
                    <w:top w:val="nil"/>
                    <w:left w:val="nil"/>
                    <w:bottom w:val="nil"/>
                    <w:right w:val="nil"/>
                  </w:tcBorders>
                  <w:shd w:val="clear" w:color="auto" w:fill="auto"/>
                  <w:tcMar>
                    <w:top w:w="15" w:type="dxa"/>
                    <w:left w:w="15" w:type="dxa"/>
                    <w:bottom w:w="0" w:type="dxa"/>
                    <w:right w:w="15" w:type="dxa"/>
                  </w:tcMar>
                  <w:vAlign w:val="bottom"/>
                  <w:hideMark/>
                </w:tcPr>
                <w:p w14:paraId="69D3F755" w14:textId="77777777" w:rsidR="00707551" w:rsidRPr="00403DF5" w:rsidRDefault="00707551" w:rsidP="003F111D">
                  <w:pPr>
                    <w:pStyle w:val="ListParagraph"/>
                    <w:numPr>
                      <w:ilvl w:val="0"/>
                      <w:numId w:val="80"/>
                    </w:numPr>
                    <w:rPr>
                      <w:color w:val="000000"/>
                    </w:rPr>
                  </w:pPr>
                  <w:r w:rsidRPr="00403DF5">
                    <w:rPr>
                      <w:color w:val="000000"/>
                      <w:lang w:val="en-ZA"/>
                    </w:rPr>
                    <w:t>BDO Tax Services (Pty) Ltd</w:t>
                  </w:r>
                </w:p>
              </w:tc>
            </w:tr>
            <w:tr w:rsidR="00707551" w:rsidRPr="006561FF" w14:paraId="7BFB9FAF" w14:textId="77777777" w:rsidTr="00875BF5">
              <w:trPr>
                <w:trHeight w:val="290"/>
              </w:trPr>
              <w:tc>
                <w:tcPr>
                  <w:tcW w:w="5520" w:type="dxa"/>
                  <w:tcBorders>
                    <w:top w:val="nil"/>
                    <w:left w:val="nil"/>
                    <w:bottom w:val="nil"/>
                    <w:right w:val="nil"/>
                  </w:tcBorders>
                  <w:shd w:val="clear" w:color="auto" w:fill="auto"/>
                  <w:tcMar>
                    <w:top w:w="15" w:type="dxa"/>
                    <w:left w:w="15" w:type="dxa"/>
                    <w:bottom w:w="0" w:type="dxa"/>
                    <w:right w:w="15" w:type="dxa"/>
                  </w:tcMar>
                  <w:vAlign w:val="bottom"/>
                  <w:hideMark/>
                </w:tcPr>
                <w:p w14:paraId="227EF7F8" w14:textId="77777777" w:rsidR="00707551" w:rsidRPr="00403DF5" w:rsidRDefault="00707551" w:rsidP="003F111D">
                  <w:pPr>
                    <w:pStyle w:val="ListParagraph"/>
                    <w:numPr>
                      <w:ilvl w:val="0"/>
                      <w:numId w:val="80"/>
                    </w:numPr>
                    <w:rPr>
                      <w:color w:val="000000"/>
                    </w:rPr>
                  </w:pPr>
                  <w:r w:rsidRPr="00403DF5">
                    <w:rPr>
                      <w:color w:val="000000"/>
                      <w:lang w:val="en-ZA"/>
                    </w:rPr>
                    <w:t>Bowmans</w:t>
                  </w:r>
                </w:p>
              </w:tc>
            </w:tr>
            <w:tr w:rsidR="00707551" w:rsidRPr="006561FF" w14:paraId="09126D33" w14:textId="77777777" w:rsidTr="00875BF5">
              <w:trPr>
                <w:trHeight w:val="270"/>
              </w:trPr>
              <w:tc>
                <w:tcPr>
                  <w:tcW w:w="5520" w:type="dxa"/>
                  <w:tcBorders>
                    <w:top w:val="nil"/>
                    <w:left w:val="nil"/>
                    <w:bottom w:val="nil"/>
                    <w:right w:val="nil"/>
                  </w:tcBorders>
                  <w:shd w:val="clear" w:color="auto" w:fill="auto"/>
                  <w:tcMar>
                    <w:top w:w="15" w:type="dxa"/>
                    <w:left w:w="15" w:type="dxa"/>
                    <w:bottom w:w="0" w:type="dxa"/>
                    <w:right w:w="15" w:type="dxa"/>
                  </w:tcMar>
                  <w:vAlign w:val="bottom"/>
                  <w:hideMark/>
                </w:tcPr>
                <w:p w14:paraId="7F29FE6C" w14:textId="77777777" w:rsidR="00707551" w:rsidRPr="00403DF5" w:rsidRDefault="00707551" w:rsidP="003F111D">
                  <w:pPr>
                    <w:pStyle w:val="ListParagraph"/>
                    <w:numPr>
                      <w:ilvl w:val="0"/>
                      <w:numId w:val="80"/>
                    </w:numPr>
                    <w:rPr>
                      <w:color w:val="000000"/>
                    </w:rPr>
                  </w:pPr>
                  <w:r w:rsidRPr="00403DF5">
                    <w:rPr>
                      <w:color w:val="000000"/>
                      <w:lang w:val="en-ZA"/>
                    </w:rPr>
                    <w:t xml:space="preserve">British American Tobacco South Africa (BATSA) </w:t>
                  </w:r>
                </w:p>
              </w:tc>
            </w:tr>
            <w:tr w:rsidR="00707551" w:rsidRPr="006561FF" w14:paraId="0257D1B7" w14:textId="77777777" w:rsidTr="00875BF5">
              <w:trPr>
                <w:trHeight w:val="290"/>
              </w:trPr>
              <w:tc>
                <w:tcPr>
                  <w:tcW w:w="5520" w:type="dxa"/>
                  <w:tcBorders>
                    <w:top w:val="nil"/>
                    <w:left w:val="nil"/>
                    <w:bottom w:val="nil"/>
                    <w:right w:val="nil"/>
                  </w:tcBorders>
                  <w:shd w:val="clear" w:color="auto" w:fill="auto"/>
                  <w:tcMar>
                    <w:top w:w="15" w:type="dxa"/>
                    <w:left w:w="15" w:type="dxa"/>
                    <w:bottom w:w="0" w:type="dxa"/>
                    <w:right w:w="15" w:type="dxa"/>
                  </w:tcMar>
                  <w:vAlign w:val="bottom"/>
                  <w:hideMark/>
                </w:tcPr>
                <w:p w14:paraId="22F3E9AA" w14:textId="77777777" w:rsidR="00707551" w:rsidRPr="00403DF5" w:rsidRDefault="00707551" w:rsidP="003F111D">
                  <w:pPr>
                    <w:pStyle w:val="ListParagraph"/>
                    <w:numPr>
                      <w:ilvl w:val="0"/>
                      <w:numId w:val="80"/>
                    </w:numPr>
                    <w:rPr>
                      <w:color w:val="000000"/>
                    </w:rPr>
                  </w:pPr>
                  <w:r w:rsidRPr="00403DF5">
                    <w:rPr>
                      <w:color w:val="000000"/>
                      <w:lang w:val="en-ZA"/>
                    </w:rPr>
                    <w:t>Business Unity South Africa</w:t>
                  </w:r>
                </w:p>
              </w:tc>
            </w:tr>
            <w:tr w:rsidR="00707551" w:rsidRPr="006561FF" w14:paraId="05D604C1" w14:textId="77777777" w:rsidTr="00875BF5">
              <w:trPr>
                <w:trHeight w:val="270"/>
              </w:trPr>
              <w:tc>
                <w:tcPr>
                  <w:tcW w:w="5520" w:type="dxa"/>
                  <w:tcBorders>
                    <w:top w:val="nil"/>
                    <w:left w:val="nil"/>
                    <w:bottom w:val="nil"/>
                    <w:right w:val="nil"/>
                  </w:tcBorders>
                  <w:shd w:val="clear" w:color="auto" w:fill="auto"/>
                  <w:tcMar>
                    <w:top w:w="15" w:type="dxa"/>
                    <w:left w:w="15" w:type="dxa"/>
                    <w:bottom w:w="0" w:type="dxa"/>
                    <w:right w:w="15" w:type="dxa"/>
                  </w:tcMar>
                  <w:vAlign w:val="bottom"/>
                  <w:hideMark/>
                </w:tcPr>
                <w:p w14:paraId="7E14FA5F" w14:textId="77777777" w:rsidR="00707551" w:rsidRPr="00403DF5" w:rsidRDefault="00707551" w:rsidP="003F111D">
                  <w:pPr>
                    <w:pStyle w:val="ListParagraph"/>
                    <w:numPr>
                      <w:ilvl w:val="0"/>
                      <w:numId w:val="80"/>
                    </w:numPr>
                    <w:rPr>
                      <w:color w:val="000000"/>
                    </w:rPr>
                  </w:pPr>
                  <w:r w:rsidRPr="00403DF5">
                    <w:rPr>
                      <w:color w:val="000000"/>
                      <w:lang w:val="en-ZA"/>
                    </w:rPr>
                    <w:t>Chartered Institute for Business Accountants (CIBA)</w:t>
                  </w:r>
                </w:p>
              </w:tc>
            </w:tr>
            <w:tr w:rsidR="00707551" w:rsidRPr="006561FF" w14:paraId="3A2C8A44" w14:textId="77777777" w:rsidTr="00875BF5">
              <w:trPr>
                <w:trHeight w:val="290"/>
              </w:trPr>
              <w:tc>
                <w:tcPr>
                  <w:tcW w:w="5520" w:type="dxa"/>
                  <w:tcBorders>
                    <w:top w:val="nil"/>
                    <w:left w:val="nil"/>
                    <w:bottom w:val="nil"/>
                    <w:right w:val="nil"/>
                  </w:tcBorders>
                  <w:shd w:val="clear" w:color="auto" w:fill="auto"/>
                  <w:tcMar>
                    <w:top w:w="15" w:type="dxa"/>
                    <w:left w:w="15" w:type="dxa"/>
                    <w:bottom w:w="0" w:type="dxa"/>
                    <w:right w:w="15" w:type="dxa"/>
                  </w:tcMar>
                  <w:vAlign w:val="bottom"/>
                  <w:hideMark/>
                </w:tcPr>
                <w:p w14:paraId="7E811C6D" w14:textId="77777777" w:rsidR="00707551" w:rsidRPr="00403DF5" w:rsidRDefault="00707551" w:rsidP="003F111D">
                  <w:pPr>
                    <w:pStyle w:val="ListParagraph"/>
                    <w:numPr>
                      <w:ilvl w:val="0"/>
                      <w:numId w:val="80"/>
                    </w:numPr>
                    <w:rPr>
                      <w:color w:val="000000"/>
                    </w:rPr>
                  </w:pPr>
                  <w:r w:rsidRPr="00403DF5">
                    <w:rPr>
                      <w:color w:val="000000"/>
                      <w:lang w:val="en-ZA"/>
                    </w:rPr>
                    <w:t>Cliffe Dekker Hofmeyr Inc</w:t>
                  </w:r>
                </w:p>
              </w:tc>
            </w:tr>
            <w:tr w:rsidR="00707551" w:rsidRPr="006561FF" w14:paraId="64A28D79" w14:textId="77777777" w:rsidTr="00875BF5">
              <w:trPr>
                <w:trHeight w:val="290"/>
              </w:trPr>
              <w:tc>
                <w:tcPr>
                  <w:tcW w:w="5520" w:type="dxa"/>
                  <w:tcBorders>
                    <w:top w:val="nil"/>
                    <w:left w:val="nil"/>
                    <w:bottom w:val="nil"/>
                    <w:right w:val="nil"/>
                  </w:tcBorders>
                  <w:shd w:val="clear" w:color="auto" w:fill="auto"/>
                  <w:tcMar>
                    <w:top w:w="15" w:type="dxa"/>
                    <w:left w:w="15" w:type="dxa"/>
                    <w:bottom w:w="0" w:type="dxa"/>
                    <w:right w:w="15" w:type="dxa"/>
                  </w:tcMar>
                  <w:vAlign w:val="bottom"/>
                  <w:hideMark/>
                </w:tcPr>
                <w:p w14:paraId="59C13888" w14:textId="77777777" w:rsidR="00707551" w:rsidRPr="00403DF5" w:rsidRDefault="00707551" w:rsidP="003F111D">
                  <w:pPr>
                    <w:pStyle w:val="ListParagraph"/>
                    <w:numPr>
                      <w:ilvl w:val="0"/>
                      <w:numId w:val="80"/>
                    </w:numPr>
                    <w:rPr>
                      <w:color w:val="000000"/>
                    </w:rPr>
                  </w:pPr>
                  <w:r w:rsidRPr="00403DF5">
                    <w:rPr>
                      <w:color w:val="000000"/>
                      <w:lang w:val="en-ZA"/>
                    </w:rPr>
                    <w:t>COSATU</w:t>
                  </w:r>
                </w:p>
              </w:tc>
            </w:tr>
            <w:tr w:rsidR="00707551" w:rsidRPr="006561FF" w14:paraId="4C02D2C2" w14:textId="77777777" w:rsidTr="00875BF5">
              <w:trPr>
                <w:trHeight w:val="290"/>
              </w:trPr>
              <w:tc>
                <w:tcPr>
                  <w:tcW w:w="5520" w:type="dxa"/>
                  <w:tcBorders>
                    <w:top w:val="nil"/>
                    <w:left w:val="nil"/>
                    <w:bottom w:val="nil"/>
                    <w:right w:val="nil"/>
                  </w:tcBorders>
                  <w:shd w:val="clear" w:color="auto" w:fill="auto"/>
                  <w:tcMar>
                    <w:top w:w="15" w:type="dxa"/>
                    <w:left w:w="15" w:type="dxa"/>
                    <w:bottom w:w="0" w:type="dxa"/>
                    <w:right w:w="15" w:type="dxa"/>
                  </w:tcMar>
                  <w:vAlign w:val="center"/>
                  <w:hideMark/>
                </w:tcPr>
                <w:p w14:paraId="4B1A5384" w14:textId="77777777" w:rsidR="00707551" w:rsidRPr="00403DF5" w:rsidRDefault="00707551" w:rsidP="003F111D">
                  <w:pPr>
                    <w:pStyle w:val="ListParagraph"/>
                    <w:numPr>
                      <w:ilvl w:val="0"/>
                      <w:numId w:val="80"/>
                    </w:numPr>
                    <w:rPr>
                      <w:color w:val="000000"/>
                    </w:rPr>
                  </w:pPr>
                  <w:r w:rsidRPr="00403DF5">
                    <w:rPr>
                      <w:color w:val="000000"/>
                      <w:lang w:val="en-ZA"/>
                    </w:rPr>
                    <w:t>Deloitte &amp; Touche</w:t>
                  </w:r>
                </w:p>
              </w:tc>
            </w:tr>
            <w:tr w:rsidR="00707551" w:rsidRPr="006561FF" w14:paraId="234C16B9" w14:textId="77777777" w:rsidTr="00875BF5">
              <w:trPr>
                <w:trHeight w:val="290"/>
              </w:trPr>
              <w:tc>
                <w:tcPr>
                  <w:tcW w:w="5520" w:type="dxa"/>
                  <w:tcBorders>
                    <w:top w:val="nil"/>
                    <w:left w:val="nil"/>
                    <w:bottom w:val="nil"/>
                    <w:right w:val="nil"/>
                  </w:tcBorders>
                  <w:shd w:val="clear" w:color="auto" w:fill="auto"/>
                  <w:tcMar>
                    <w:top w:w="15" w:type="dxa"/>
                    <w:left w:w="15" w:type="dxa"/>
                    <w:bottom w:w="0" w:type="dxa"/>
                    <w:right w:w="15" w:type="dxa"/>
                  </w:tcMar>
                  <w:vAlign w:val="bottom"/>
                  <w:hideMark/>
                </w:tcPr>
                <w:p w14:paraId="235C3438" w14:textId="77777777" w:rsidR="00707551" w:rsidRPr="00403DF5" w:rsidRDefault="00707551" w:rsidP="003F111D">
                  <w:pPr>
                    <w:pStyle w:val="ListParagraph"/>
                    <w:numPr>
                      <w:ilvl w:val="0"/>
                      <w:numId w:val="80"/>
                    </w:numPr>
                    <w:rPr>
                      <w:color w:val="000000"/>
                    </w:rPr>
                  </w:pPr>
                  <w:r w:rsidRPr="00403DF5">
                    <w:rPr>
                      <w:color w:val="000000"/>
                      <w:lang w:val="en-ZA"/>
                    </w:rPr>
                    <w:t>Department of Transport</w:t>
                  </w:r>
                </w:p>
              </w:tc>
            </w:tr>
            <w:tr w:rsidR="00707551" w:rsidRPr="006561FF" w14:paraId="45D3CD81" w14:textId="77777777" w:rsidTr="00875BF5">
              <w:trPr>
                <w:trHeight w:val="290"/>
              </w:trPr>
              <w:tc>
                <w:tcPr>
                  <w:tcW w:w="5520" w:type="dxa"/>
                  <w:tcBorders>
                    <w:top w:val="nil"/>
                    <w:left w:val="nil"/>
                    <w:bottom w:val="nil"/>
                    <w:right w:val="nil"/>
                  </w:tcBorders>
                  <w:shd w:val="clear" w:color="auto" w:fill="auto"/>
                  <w:tcMar>
                    <w:top w:w="15" w:type="dxa"/>
                    <w:left w:w="15" w:type="dxa"/>
                    <w:bottom w:w="0" w:type="dxa"/>
                    <w:right w:w="15" w:type="dxa"/>
                  </w:tcMar>
                  <w:vAlign w:val="bottom"/>
                  <w:hideMark/>
                </w:tcPr>
                <w:p w14:paraId="39106A89" w14:textId="77777777" w:rsidR="00707551" w:rsidRPr="00403DF5" w:rsidRDefault="00707551" w:rsidP="003F111D">
                  <w:pPr>
                    <w:pStyle w:val="ListParagraph"/>
                    <w:numPr>
                      <w:ilvl w:val="0"/>
                      <w:numId w:val="80"/>
                    </w:numPr>
                    <w:rPr>
                      <w:color w:val="000000"/>
                    </w:rPr>
                  </w:pPr>
                  <w:r w:rsidRPr="00403DF5">
                    <w:rPr>
                      <w:color w:val="000000"/>
                      <w:lang w:val="en-ZA"/>
                    </w:rPr>
                    <w:t>Department of Trade Industry and Competition</w:t>
                  </w:r>
                </w:p>
              </w:tc>
            </w:tr>
            <w:tr w:rsidR="00707551" w:rsidRPr="006561FF" w14:paraId="627C689C" w14:textId="77777777" w:rsidTr="00875BF5">
              <w:trPr>
                <w:trHeight w:val="290"/>
              </w:trPr>
              <w:tc>
                <w:tcPr>
                  <w:tcW w:w="5520" w:type="dxa"/>
                  <w:tcBorders>
                    <w:top w:val="nil"/>
                    <w:left w:val="nil"/>
                    <w:bottom w:val="nil"/>
                    <w:right w:val="nil"/>
                  </w:tcBorders>
                  <w:shd w:val="clear" w:color="auto" w:fill="auto"/>
                  <w:tcMar>
                    <w:top w:w="15" w:type="dxa"/>
                    <w:left w:w="15" w:type="dxa"/>
                    <w:bottom w:w="0" w:type="dxa"/>
                    <w:right w:w="15" w:type="dxa"/>
                  </w:tcMar>
                  <w:vAlign w:val="bottom"/>
                  <w:hideMark/>
                </w:tcPr>
                <w:p w14:paraId="697FAF7E" w14:textId="77777777" w:rsidR="00707551" w:rsidRPr="00403DF5" w:rsidRDefault="00707551" w:rsidP="003F111D">
                  <w:pPr>
                    <w:pStyle w:val="ListParagraph"/>
                    <w:numPr>
                      <w:ilvl w:val="0"/>
                      <w:numId w:val="80"/>
                    </w:numPr>
                    <w:rPr>
                      <w:color w:val="000000"/>
                    </w:rPr>
                  </w:pPr>
                  <w:r w:rsidRPr="00403DF5">
                    <w:rPr>
                      <w:color w:val="000000"/>
                      <w:lang w:val="en-ZA"/>
                    </w:rPr>
                    <w:t>ENSafrica</w:t>
                  </w:r>
                </w:p>
              </w:tc>
            </w:tr>
            <w:tr w:rsidR="00707551" w:rsidRPr="006561FF" w14:paraId="210CB735" w14:textId="77777777" w:rsidTr="00875BF5">
              <w:trPr>
                <w:trHeight w:val="290"/>
              </w:trPr>
              <w:tc>
                <w:tcPr>
                  <w:tcW w:w="5520" w:type="dxa"/>
                  <w:tcBorders>
                    <w:top w:val="nil"/>
                    <w:left w:val="nil"/>
                    <w:bottom w:val="nil"/>
                    <w:right w:val="nil"/>
                  </w:tcBorders>
                  <w:shd w:val="clear" w:color="auto" w:fill="auto"/>
                  <w:tcMar>
                    <w:top w:w="15" w:type="dxa"/>
                    <w:left w:w="15" w:type="dxa"/>
                    <w:bottom w:w="0" w:type="dxa"/>
                    <w:right w:w="15" w:type="dxa"/>
                  </w:tcMar>
                  <w:vAlign w:val="bottom"/>
                  <w:hideMark/>
                </w:tcPr>
                <w:p w14:paraId="59C621D4" w14:textId="77777777" w:rsidR="00707551" w:rsidRPr="00403DF5" w:rsidRDefault="00707551" w:rsidP="003F111D">
                  <w:pPr>
                    <w:pStyle w:val="ListParagraph"/>
                    <w:numPr>
                      <w:ilvl w:val="0"/>
                      <w:numId w:val="80"/>
                    </w:numPr>
                    <w:rPr>
                      <w:color w:val="000000"/>
                    </w:rPr>
                  </w:pPr>
                  <w:r w:rsidRPr="00403DF5">
                    <w:rPr>
                      <w:color w:val="000000"/>
                      <w:lang w:val="en-ZA"/>
                    </w:rPr>
                    <w:t>Ernst &amp; Young (EY)</w:t>
                  </w:r>
                </w:p>
              </w:tc>
            </w:tr>
            <w:tr w:rsidR="00707551" w:rsidRPr="006561FF" w14:paraId="619594EA" w14:textId="77777777" w:rsidTr="00875BF5">
              <w:trPr>
                <w:trHeight w:val="290"/>
              </w:trPr>
              <w:tc>
                <w:tcPr>
                  <w:tcW w:w="5520" w:type="dxa"/>
                  <w:tcBorders>
                    <w:top w:val="nil"/>
                    <w:left w:val="nil"/>
                    <w:bottom w:val="nil"/>
                    <w:right w:val="nil"/>
                  </w:tcBorders>
                  <w:shd w:val="clear" w:color="auto" w:fill="auto"/>
                  <w:tcMar>
                    <w:top w:w="15" w:type="dxa"/>
                    <w:left w:w="15" w:type="dxa"/>
                    <w:bottom w:w="0" w:type="dxa"/>
                    <w:right w:w="15" w:type="dxa"/>
                  </w:tcMar>
                  <w:vAlign w:val="bottom"/>
                  <w:hideMark/>
                </w:tcPr>
                <w:p w14:paraId="7FDD2306" w14:textId="77777777" w:rsidR="00707551" w:rsidRPr="00403DF5" w:rsidRDefault="00707551" w:rsidP="003F111D">
                  <w:pPr>
                    <w:pStyle w:val="ListParagraph"/>
                    <w:numPr>
                      <w:ilvl w:val="0"/>
                      <w:numId w:val="80"/>
                    </w:numPr>
                    <w:rPr>
                      <w:color w:val="000000"/>
                    </w:rPr>
                  </w:pPr>
                  <w:r w:rsidRPr="00403DF5">
                    <w:rPr>
                      <w:color w:val="000000"/>
                      <w:lang w:val="en-ZA"/>
                    </w:rPr>
                    <w:t xml:space="preserve">Future Growth </w:t>
                  </w:r>
                </w:p>
              </w:tc>
            </w:tr>
            <w:tr w:rsidR="00707551" w:rsidRPr="006561FF" w14:paraId="128D7AEB" w14:textId="77777777" w:rsidTr="00875BF5">
              <w:trPr>
                <w:trHeight w:val="310"/>
              </w:trPr>
              <w:tc>
                <w:tcPr>
                  <w:tcW w:w="5520" w:type="dxa"/>
                  <w:tcBorders>
                    <w:top w:val="nil"/>
                    <w:left w:val="nil"/>
                    <w:bottom w:val="nil"/>
                    <w:right w:val="nil"/>
                  </w:tcBorders>
                  <w:shd w:val="clear" w:color="auto" w:fill="auto"/>
                  <w:tcMar>
                    <w:top w:w="15" w:type="dxa"/>
                    <w:left w:w="15" w:type="dxa"/>
                    <w:bottom w:w="0" w:type="dxa"/>
                    <w:right w:w="15" w:type="dxa"/>
                  </w:tcMar>
                  <w:vAlign w:val="bottom"/>
                  <w:hideMark/>
                </w:tcPr>
                <w:p w14:paraId="427EB90A" w14:textId="77777777" w:rsidR="00707551" w:rsidRPr="00403DF5" w:rsidRDefault="00707551" w:rsidP="003F111D">
                  <w:pPr>
                    <w:pStyle w:val="ListParagraph"/>
                    <w:numPr>
                      <w:ilvl w:val="0"/>
                      <w:numId w:val="80"/>
                    </w:numPr>
                    <w:rPr>
                      <w:color w:val="000000"/>
                    </w:rPr>
                  </w:pPr>
                  <w:r w:rsidRPr="00403DF5">
                    <w:rPr>
                      <w:color w:val="000000"/>
                      <w:lang w:val="en-ZA"/>
                    </w:rPr>
                    <w:t xml:space="preserve">Government Employees Pension Fund </w:t>
                  </w:r>
                </w:p>
              </w:tc>
            </w:tr>
            <w:tr w:rsidR="00707551" w:rsidRPr="006561FF" w14:paraId="24A5C96B" w14:textId="77777777" w:rsidTr="00875BF5">
              <w:trPr>
                <w:trHeight w:val="270"/>
              </w:trPr>
              <w:tc>
                <w:tcPr>
                  <w:tcW w:w="5520" w:type="dxa"/>
                  <w:tcBorders>
                    <w:top w:val="nil"/>
                    <w:left w:val="nil"/>
                    <w:bottom w:val="nil"/>
                    <w:right w:val="nil"/>
                  </w:tcBorders>
                  <w:shd w:val="clear" w:color="auto" w:fill="auto"/>
                  <w:tcMar>
                    <w:top w:w="15" w:type="dxa"/>
                    <w:left w:w="15" w:type="dxa"/>
                    <w:bottom w:w="0" w:type="dxa"/>
                    <w:right w:w="15" w:type="dxa"/>
                  </w:tcMar>
                  <w:vAlign w:val="bottom"/>
                  <w:hideMark/>
                </w:tcPr>
                <w:p w14:paraId="58B14B62" w14:textId="77777777" w:rsidR="00707551" w:rsidRPr="00403DF5" w:rsidRDefault="00707551" w:rsidP="003F111D">
                  <w:pPr>
                    <w:pStyle w:val="ListParagraph"/>
                    <w:numPr>
                      <w:ilvl w:val="0"/>
                      <w:numId w:val="80"/>
                    </w:numPr>
                    <w:rPr>
                      <w:color w:val="000000"/>
                    </w:rPr>
                  </w:pPr>
                  <w:r w:rsidRPr="00403DF5">
                    <w:rPr>
                      <w:color w:val="000000"/>
                      <w:lang w:val="en-ZA"/>
                    </w:rPr>
                    <w:t xml:space="preserve">Independent Municipal and Allied Trade Union (IMATU) </w:t>
                  </w:r>
                </w:p>
              </w:tc>
            </w:tr>
            <w:tr w:rsidR="00707551" w:rsidRPr="006561FF" w14:paraId="5BDCBB2C" w14:textId="77777777" w:rsidTr="00875BF5">
              <w:trPr>
                <w:trHeight w:val="360"/>
              </w:trPr>
              <w:tc>
                <w:tcPr>
                  <w:tcW w:w="5520" w:type="dxa"/>
                  <w:tcBorders>
                    <w:top w:val="nil"/>
                    <w:left w:val="nil"/>
                    <w:bottom w:val="nil"/>
                    <w:right w:val="nil"/>
                  </w:tcBorders>
                  <w:shd w:val="clear" w:color="auto" w:fill="auto"/>
                  <w:tcMar>
                    <w:top w:w="15" w:type="dxa"/>
                    <w:left w:w="15" w:type="dxa"/>
                    <w:bottom w:w="0" w:type="dxa"/>
                    <w:right w:w="15" w:type="dxa"/>
                  </w:tcMar>
                  <w:vAlign w:val="bottom"/>
                  <w:hideMark/>
                </w:tcPr>
                <w:p w14:paraId="072CC70C" w14:textId="77777777" w:rsidR="00707551" w:rsidRPr="00403DF5" w:rsidRDefault="00707551" w:rsidP="003F111D">
                  <w:pPr>
                    <w:pStyle w:val="ListParagraph"/>
                    <w:numPr>
                      <w:ilvl w:val="0"/>
                      <w:numId w:val="80"/>
                    </w:numPr>
                    <w:rPr>
                      <w:color w:val="000000"/>
                    </w:rPr>
                  </w:pPr>
                  <w:r w:rsidRPr="00403DF5">
                    <w:rPr>
                      <w:color w:val="000000"/>
                      <w:lang w:val="en-ZA"/>
                    </w:rPr>
                    <w:t xml:space="preserve">Institute of Retirement Funds Africa’s (IRFA) </w:t>
                  </w:r>
                </w:p>
              </w:tc>
            </w:tr>
            <w:tr w:rsidR="00707551" w:rsidRPr="006561FF" w14:paraId="741D59BF" w14:textId="77777777" w:rsidTr="00875BF5">
              <w:trPr>
                <w:trHeight w:val="290"/>
              </w:trPr>
              <w:tc>
                <w:tcPr>
                  <w:tcW w:w="5520" w:type="dxa"/>
                  <w:tcBorders>
                    <w:top w:val="nil"/>
                    <w:left w:val="nil"/>
                    <w:bottom w:val="nil"/>
                    <w:right w:val="nil"/>
                  </w:tcBorders>
                  <w:shd w:val="clear" w:color="auto" w:fill="auto"/>
                  <w:tcMar>
                    <w:top w:w="15" w:type="dxa"/>
                    <w:left w:w="15" w:type="dxa"/>
                    <w:bottom w:w="0" w:type="dxa"/>
                    <w:right w:w="15" w:type="dxa"/>
                  </w:tcMar>
                  <w:vAlign w:val="bottom"/>
                  <w:hideMark/>
                </w:tcPr>
                <w:p w14:paraId="3E058072" w14:textId="77777777" w:rsidR="00707551" w:rsidRPr="00403DF5" w:rsidRDefault="00707551" w:rsidP="003F111D">
                  <w:pPr>
                    <w:pStyle w:val="ListParagraph"/>
                    <w:numPr>
                      <w:ilvl w:val="0"/>
                      <w:numId w:val="80"/>
                    </w:numPr>
                    <w:rPr>
                      <w:color w:val="000000"/>
                    </w:rPr>
                  </w:pPr>
                  <w:r w:rsidRPr="00403DF5">
                    <w:rPr>
                      <w:color w:val="000000"/>
                      <w:lang w:val="en-ZA"/>
                    </w:rPr>
                    <w:t>KPMG</w:t>
                  </w:r>
                </w:p>
              </w:tc>
            </w:tr>
            <w:tr w:rsidR="00707551" w:rsidRPr="006561FF" w14:paraId="61A22D5D" w14:textId="77777777" w:rsidTr="00875BF5">
              <w:trPr>
                <w:trHeight w:val="290"/>
              </w:trPr>
              <w:tc>
                <w:tcPr>
                  <w:tcW w:w="5520" w:type="dxa"/>
                  <w:tcBorders>
                    <w:top w:val="nil"/>
                    <w:left w:val="nil"/>
                    <w:bottom w:val="nil"/>
                    <w:right w:val="nil"/>
                  </w:tcBorders>
                  <w:shd w:val="clear" w:color="auto" w:fill="auto"/>
                  <w:tcMar>
                    <w:top w:w="15" w:type="dxa"/>
                    <w:left w:w="15" w:type="dxa"/>
                    <w:bottom w:w="0" w:type="dxa"/>
                    <w:right w:w="15" w:type="dxa"/>
                  </w:tcMar>
                  <w:vAlign w:val="bottom"/>
                  <w:hideMark/>
                </w:tcPr>
                <w:p w14:paraId="2508E767" w14:textId="77777777" w:rsidR="00707551" w:rsidRPr="00403DF5" w:rsidRDefault="00707551" w:rsidP="003F111D">
                  <w:pPr>
                    <w:pStyle w:val="ListParagraph"/>
                    <w:numPr>
                      <w:ilvl w:val="0"/>
                      <w:numId w:val="80"/>
                    </w:numPr>
                    <w:rPr>
                      <w:color w:val="000000"/>
                    </w:rPr>
                  </w:pPr>
                  <w:r w:rsidRPr="00403DF5">
                    <w:rPr>
                      <w:color w:val="000000"/>
                      <w:lang w:val="en-ZA"/>
                    </w:rPr>
                    <w:t xml:space="preserve">Metal Concentrators SA </w:t>
                  </w:r>
                </w:p>
              </w:tc>
            </w:tr>
            <w:tr w:rsidR="00707551" w:rsidRPr="006561FF" w14:paraId="64B440C0" w14:textId="77777777" w:rsidTr="00875BF5">
              <w:trPr>
                <w:trHeight w:val="280"/>
              </w:trPr>
              <w:tc>
                <w:tcPr>
                  <w:tcW w:w="5520" w:type="dxa"/>
                  <w:tcBorders>
                    <w:top w:val="nil"/>
                    <w:left w:val="nil"/>
                    <w:bottom w:val="nil"/>
                    <w:right w:val="nil"/>
                  </w:tcBorders>
                  <w:shd w:val="clear" w:color="auto" w:fill="auto"/>
                  <w:tcMar>
                    <w:top w:w="15" w:type="dxa"/>
                    <w:left w:w="15" w:type="dxa"/>
                    <w:bottom w:w="0" w:type="dxa"/>
                    <w:right w:w="15" w:type="dxa"/>
                  </w:tcMar>
                  <w:vAlign w:val="bottom"/>
                  <w:hideMark/>
                </w:tcPr>
                <w:p w14:paraId="25B3258C" w14:textId="77777777" w:rsidR="00707551" w:rsidRPr="00403DF5" w:rsidRDefault="00707551" w:rsidP="003F111D">
                  <w:pPr>
                    <w:pStyle w:val="ListParagraph"/>
                    <w:numPr>
                      <w:ilvl w:val="0"/>
                      <w:numId w:val="80"/>
                    </w:numPr>
                    <w:rPr>
                      <w:color w:val="000000"/>
                    </w:rPr>
                  </w:pPr>
                  <w:r w:rsidRPr="00403DF5">
                    <w:rPr>
                      <w:color w:val="000000"/>
                      <w:lang w:val="en-ZA"/>
                    </w:rPr>
                    <w:t>Mineral Council South Africa (MCSA)</w:t>
                  </w:r>
                </w:p>
              </w:tc>
            </w:tr>
            <w:tr w:rsidR="00707551" w:rsidRPr="006561FF" w14:paraId="103A20A3" w14:textId="77777777" w:rsidTr="00875BF5">
              <w:trPr>
                <w:trHeight w:val="290"/>
              </w:trPr>
              <w:tc>
                <w:tcPr>
                  <w:tcW w:w="5520" w:type="dxa"/>
                  <w:tcBorders>
                    <w:top w:val="nil"/>
                    <w:left w:val="nil"/>
                    <w:bottom w:val="nil"/>
                    <w:right w:val="nil"/>
                  </w:tcBorders>
                  <w:shd w:val="clear" w:color="auto" w:fill="auto"/>
                  <w:tcMar>
                    <w:top w:w="15" w:type="dxa"/>
                    <w:left w:w="15" w:type="dxa"/>
                    <w:bottom w:w="0" w:type="dxa"/>
                    <w:right w:w="15" w:type="dxa"/>
                  </w:tcMar>
                  <w:vAlign w:val="bottom"/>
                  <w:hideMark/>
                </w:tcPr>
                <w:p w14:paraId="7224FE3B" w14:textId="77777777" w:rsidR="00707551" w:rsidRPr="00403DF5" w:rsidRDefault="00707551" w:rsidP="003F111D">
                  <w:pPr>
                    <w:pStyle w:val="ListParagraph"/>
                    <w:numPr>
                      <w:ilvl w:val="0"/>
                      <w:numId w:val="80"/>
                    </w:numPr>
                    <w:rPr>
                      <w:color w:val="000000"/>
                    </w:rPr>
                  </w:pPr>
                  <w:r w:rsidRPr="00403DF5">
                    <w:rPr>
                      <w:color w:val="000000"/>
                      <w:lang w:val="en-ZA"/>
                    </w:rPr>
                    <w:t xml:space="preserve">Motus </w:t>
                  </w:r>
                </w:p>
              </w:tc>
            </w:tr>
            <w:tr w:rsidR="00707551" w:rsidRPr="006561FF" w14:paraId="01F7945B" w14:textId="77777777" w:rsidTr="00875BF5">
              <w:trPr>
                <w:trHeight w:val="290"/>
              </w:trPr>
              <w:tc>
                <w:tcPr>
                  <w:tcW w:w="5520" w:type="dxa"/>
                  <w:tcBorders>
                    <w:top w:val="nil"/>
                    <w:left w:val="nil"/>
                    <w:bottom w:val="nil"/>
                    <w:right w:val="nil"/>
                  </w:tcBorders>
                  <w:shd w:val="clear" w:color="auto" w:fill="auto"/>
                  <w:tcMar>
                    <w:top w:w="15" w:type="dxa"/>
                    <w:left w:w="15" w:type="dxa"/>
                    <w:bottom w:w="0" w:type="dxa"/>
                    <w:right w:w="15" w:type="dxa"/>
                  </w:tcMar>
                  <w:vAlign w:val="bottom"/>
                  <w:hideMark/>
                </w:tcPr>
                <w:p w14:paraId="2102C2CA" w14:textId="77777777" w:rsidR="00707551" w:rsidRPr="00403DF5" w:rsidRDefault="00707551" w:rsidP="003F111D">
                  <w:pPr>
                    <w:pStyle w:val="ListParagraph"/>
                    <w:numPr>
                      <w:ilvl w:val="0"/>
                      <w:numId w:val="80"/>
                    </w:numPr>
                    <w:rPr>
                      <w:color w:val="000000"/>
                    </w:rPr>
                  </w:pPr>
                  <w:r w:rsidRPr="00403DF5">
                    <w:rPr>
                      <w:color w:val="000000"/>
                      <w:lang w:val="en-ZA"/>
                    </w:rPr>
                    <w:t>MTN South Africa</w:t>
                  </w:r>
                </w:p>
              </w:tc>
            </w:tr>
            <w:tr w:rsidR="00707551" w:rsidRPr="006561FF" w14:paraId="1C010CBD" w14:textId="77777777" w:rsidTr="00875BF5">
              <w:trPr>
                <w:trHeight w:val="290"/>
              </w:trPr>
              <w:tc>
                <w:tcPr>
                  <w:tcW w:w="5520" w:type="dxa"/>
                  <w:tcBorders>
                    <w:top w:val="nil"/>
                    <w:left w:val="nil"/>
                    <w:bottom w:val="nil"/>
                    <w:right w:val="nil"/>
                  </w:tcBorders>
                  <w:shd w:val="clear" w:color="auto" w:fill="auto"/>
                  <w:tcMar>
                    <w:top w:w="15" w:type="dxa"/>
                    <w:left w:w="15" w:type="dxa"/>
                    <w:bottom w:w="0" w:type="dxa"/>
                    <w:right w:w="15" w:type="dxa"/>
                  </w:tcMar>
                  <w:vAlign w:val="bottom"/>
                  <w:hideMark/>
                </w:tcPr>
                <w:p w14:paraId="120319CA" w14:textId="77777777" w:rsidR="00707551" w:rsidRPr="00403DF5" w:rsidRDefault="00707551" w:rsidP="003F111D">
                  <w:pPr>
                    <w:pStyle w:val="ListParagraph"/>
                    <w:numPr>
                      <w:ilvl w:val="0"/>
                      <w:numId w:val="80"/>
                    </w:numPr>
                    <w:rPr>
                      <w:color w:val="000000"/>
                    </w:rPr>
                  </w:pPr>
                  <w:r w:rsidRPr="00403DF5">
                    <w:rPr>
                      <w:color w:val="000000"/>
                      <w:lang w:val="en-ZA"/>
                    </w:rPr>
                    <w:t>MWEB</w:t>
                  </w:r>
                </w:p>
              </w:tc>
            </w:tr>
            <w:tr w:rsidR="00707551" w:rsidRPr="006561FF" w14:paraId="4A5A1E8B" w14:textId="77777777" w:rsidTr="00875BF5">
              <w:trPr>
                <w:trHeight w:val="590"/>
              </w:trPr>
              <w:tc>
                <w:tcPr>
                  <w:tcW w:w="5520" w:type="dxa"/>
                  <w:tcBorders>
                    <w:top w:val="nil"/>
                    <w:left w:val="nil"/>
                    <w:bottom w:val="nil"/>
                    <w:right w:val="nil"/>
                  </w:tcBorders>
                  <w:shd w:val="clear" w:color="auto" w:fill="auto"/>
                  <w:tcMar>
                    <w:top w:w="15" w:type="dxa"/>
                    <w:left w:w="15" w:type="dxa"/>
                    <w:bottom w:w="0" w:type="dxa"/>
                    <w:right w:w="15" w:type="dxa"/>
                  </w:tcMar>
                  <w:vAlign w:val="bottom"/>
                  <w:hideMark/>
                </w:tcPr>
                <w:p w14:paraId="6F527B89" w14:textId="77777777" w:rsidR="00707551" w:rsidRPr="00403DF5" w:rsidRDefault="00707551" w:rsidP="003F111D">
                  <w:pPr>
                    <w:pStyle w:val="ListParagraph"/>
                    <w:numPr>
                      <w:ilvl w:val="0"/>
                      <w:numId w:val="80"/>
                    </w:numPr>
                    <w:rPr>
                      <w:color w:val="000000"/>
                    </w:rPr>
                  </w:pPr>
                  <w:r w:rsidRPr="00403DF5">
                    <w:rPr>
                      <w:color w:val="000000"/>
                      <w:lang w:val="en-ZA"/>
                    </w:rPr>
                    <w:t>National Association of Automotive Component and Allied Manufacturers (NAACAM)</w:t>
                  </w:r>
                </w:p>
              </w:tc>
            </w:tr>
            <w:tr w:rsidR="00707551" w:rsidRPr="006561FF" w14:paraId="445E92E4" w14:textId="77777777" w:rsidTr="00875BF5">
              <w:trPr>
                <w:trHeight w:val="290"/>
              </w:trPr>
              <w:tc>
                <w:tcPr>
                  <w:tcW w:w="5520" w:type="dxa"/>
                  <w:tcBorders>
                    <w:top w:val="nil"/>
                    <w:left w:val="nil"/>
                    <w:bottom w:val="nil"/>
                    <w:right w:val="nil"/>
                  </w:tcBorders>
                  <w:shd w:val="clear" w:color="auto" w:fill="auto"/>
                  <w:tcMar>
                    <w:top w:w="15" w:type="dxa"/>
                    <w:left w:w="15" w:type="dxa"/>
                    <w:bottom w:w="0" w:type="dxa"/>
                    <w:right w:w="15" w:type="dxa"/>
                  </w:tcMar>
                  <w:vAlign w:val="bottom"/>
                  <w:hideMark/>
                </w:tcPr>
                <w:p w14:paraId="7E52AA5C" w14:textId="77777777" w:rsidR="00707551" w:rsidRPr="00403DF5" w:rsidRDefault="00707551" w:rsidP="003F111D">
                  <w:pPr>
                    <w:pStyle w:val="ListParagraph"/>
                    <w:numPr>
                      <w:ilvl w:val="0"/>
                      <w:numId w:val="80"/>
                    </w:numPr>
                    <w:rPr>
                      <w:color w:val="000000"/>
                    </w:rPr>
                  </w:pPr>
                  <w:r w:rsidRPr="00403DF5">
                    <w:rPr>
                      <w:color w:val="000000"/>
                      <w:lang w:val="en-ZA"/>
                    </w:rPr>
                    <w:t>NWU</w:t>
                  </w:r>
                </w:p>
              </w:tc>
            </w:tr>
            <w:tr w:rsidR="00707551" w:rsidRPr="006561FF" w14:paraId="66336CE4" w14:textId="77777777" w:rsidTr="00875BF5">
              <w:trPr>
                <w:trHeight w:val="290"/>
              </w:trPr>
              <w:tc>
                <w:tcPr>
                  <w:tcW w:w="5520" w:type="dxa"/>
                  <w:tcBorders>
                    <w:top w:val="nil"/>
                    <w:left w:val="nil"/>
                    <w:bottom w:val="nil"/>
                    <w:right w:val="nil"/>
                  </w:tcBorders>
                  <w:shd w:val="clear" w:color="auto" w:fill="auto"/>
                  <w:tcMar>
                    <w:top w:w="15" w:type="dxa"/>
                    <w:left w:w="15" w:type="dxa"/>
                    <w:bottom w:w="0" w:type="dxa"/>
                    <w:right w:w="15" w:type="dxa"/>
                  </w:tcMar>
                  <w:vAlign w:val="bottom"/>
                  <w:hideMark/>
                </w:tcPr>
                <w:p w14:paraId="7B361E40" w14:textId="77777777" w:rsidR="00707551" w:rsidRPr="00403DF5" w:rsidRDefault="00707551" w:rsidP="003F111D">
                  <w:pPr>
                    <w:pStyle w:val="ListParagraph"/>
                    <w:numPr>
                      <w:ilvl w:val="0"/>
                      <w:numId w:val="80"/>
                    </w:numPr>
                    <w:rPr>
                      <w:color w:val="000000"/>
                    </w:rPr>
                  </w:pPr>
                  <w:r w:rsidRPr="00403DF5">
                    <w:rPr>
                      <w:color w:val="000000"/>
                      <w:lang w:val="en-ZA"/>
                    </w:rPr>
                    <w:t>Office of the Tax Ombud (OTO)</w:t>
                  </w:r>
                </w:p>
              </w:tc>
            </w:tr>
            <w:tr w:rsidR="00707551" w:rsidRPr="006561FF" w14:paraId="42A906DB" w14:textId="77777777" w:rsidTr="00875BF5">
              <w:trPr>
                <w:trHeight w:val="290"/>
              </w:trPr>
              <w:tc>
                <w:tcPr>
                  <w:tcW w:w="5520" w:type="dxa"/>
                  <w:tcBorders>
                    <w:top w:val="nil"/>
                    <w:left w:val="nil"/>
                    <w:bottom w:val="nil"/>
                    <w:right w:val="nil"/>
                  </w:tcBorders>
                  <w:shd w:val="clear" w:color="auto" w:fill="auto"/>
                  <w:tcMar>
                    <w:top w:w="15" w:type="dxa"/>
                    <w:left w:w="15" w:type="dxa"/>
                    <w:bottom w:w="0" w:type="dxa"/>
                    <w:right w:w="15" w:type="dxa"/>
                  </w:tcMar>
                  <w:vAlign w:val="bottom"/>
                  <w:hideMark/>
                </w:tcPr>
                <w:p w14:paraId="5DE5598B" w14:textId="77777777" w:rsidR="00707551" w:rsidRPr="00403DF5" w:rsidRDefault="00707551" w:rsidP="003F111D">
                  <w:pPr>
                    <w:pStyle w:val="ListParagraph"/>
                    <w:numPr>
                      <w:ilvl w:val="0"/>
                      <w:numId w:val="80"/>
                    </w:numPr>
                    <w:rPr>
                      <w:color w:val="000000"/>
                    </w:rPr>
                  </w:pPr>
                  <w:r w:rsidRPr="00403DF5">
                    <w:rPr>
                      <w:color w:val="000000"/>
                      <w:lang w:val="en-ZA"/>
                    </w:rPr>
                    <w:t xml:space="preserve">Old Mutual </w:t>
                  </w:r>
                </w:p>
              </w:tc>
            </w:tr>
            <w:tr w:rsidR="00707551" w:rsidRPr="006561FF" w14:paraId="5E161A42" w14:textId="77777777" w:rsidTr="00875BF5">
              <w:trPr>
                <w:trHeight w:val="290"/>
              </w:trPr>
              <w:tc>
                <w:tcPr>
                  <w:tcW w:w="5520" w:type="dxa"/>
                  <w:tcBorders>
                    <w:top w:val="nil"/>
                    <w:left w:val="nil"/>
                    <w:bottom w:val="nil"/>
                    <w:right w:val="nil"/>
                  </w:tcBorders>
                  <w:shd w:val="clear" w:color="auto" w:fill="auto"/>
                  <w:tcMar>
                    <w:top w:w="15" w:type="dxa"/>
                    <w:left w:w="15" w:type="dxa"/>
                    <w:bottom w:w="0" w:type="dxa"/>
                    <w:right w:w="15" w:type="dxa"/>
                  </w:tcMar>
                  <w:vAlign w:val="bottom"/>
                  <w:hideMark/>
                </w:tcPr>
                <w:p w14:paraId="6978E5D5" w14:textId="77777777" w:rsidR="00707551" w:rsidRPr="00403DF5" w:rsidRDefault="00707551" w:rsidP="003F111D">
                  <w:pPr>
                    <w:pStyle w:val="ListParagraph"/>
                    <w:numPr>
                      <w:ilvl w:val="0"/>
                      <w:numId w:val="80"/>
                    </w:numPr>
                    <w:rPr>
                      <w:color w:val="000000"/>
                    </w:rPr>
                  </w:pPr>
                  <w:r w:rsidRPr="00403DF5">
                    <w:rPr>
                      <w:color w:val="000000"/>
                      <w:lang w:val="en-ZA"/>
                    </w:rPr>
                    <w:t>PetroSA</w:t>
                  </w:r>
                </w:p>
              </w:tc>
            </w:tr>
            <w:tr w:rsidR="00707551" w:rsidRPr="006561FF" w14:paraId="69EF2C40" w14:textId="77777777" w:rsidTr="00875BF5">
              <w:trPr>
                <w:trHeight w:val="290"/>
              </w:trPr>
              <w:tc>
                <w:tcPr>
                  <w:tcW w:w="5520" w:type="dxa"/>
                  <w:tcBorders>
                    <w:top w:val="nil"/>
                    <w:left w:val="nil"/>
                    <w:bottom w:val="nil"/>
                    <w:right w:val="nil"/>
                  </w:tcBorders>
                  <w:shd w:val="clear" w:color="auto" w:fill="auto"/>
                  <w:tcMar>
                    <w:top w:w="15" w:type="dxa"/>
                    <w:left w:w="15" w:type="dxa"/>
                    <w:bottom w:w="0" w:type="dxa"/>
                    <w:right w:w="15" w:type="dxa"/>
                  </w:tcMar>
                  <w:vAlign w:val="bottom"/>
                  <w:hideMark/>
                </w:tcPr>
                <w:p w14:paraId="10FA35D0" w14:textId="77777777" w:rsidR="00707551" w:rsidRPr="00403DF5" w:rsidRDefault="00707551" w:rsidP="003F111D">
                  <w:pPr>
                    <w:pStyle w:val="ListParagraph"/>
                    <w:numPr>
                      <w:ilvl w:val="0"/>
                      <w:numId w:val="80"/>
                    </w:numPr>
                    <w:rPr>
                      <w:color w:val="000000"/>
                    </w:rPr>
                  </w:pPr>
                  <w:r w:rsidRPr="00403DF5">
                    <w:rPr>
                      <w:color w:val="000000"/>
                      <w:lang w:val="en-ZA"/>
                    </w:rPr>
                    <w:t xml:space="preserve">PKF Durban </w:t>
                  </w:r>
                </w:p>
              </w:tc>
            </w:tr>
            <w:tr w:rsidR="00707551" w:rsidRPr="006561FF" w14:paraId="5D8782E7" w14:textId="77777777" w:rsidTr="00875BF5">
              <w:trPr>
                <w:trHeight w:val="290"/>
              </w:trPr>
              <w:tc>
                <w:tcPr>
                  <w:tcW w:w="5520" w:type="dxa"/>
                  <w:tcBorders>
                    <w:top w:val="nil"/>
                    <w:left w:val="nil"/>
                    <w:bottom w:val="nil"/>
                    <w:right w:val="nil"/>
                  </w:tcBorders>
                  <w:shd w:val="clear" w:color="auto" w:fill="auto"/>
                  <w:tcMar>
                    <w:top w:w="15" w:type="dxa"/>
                    <w:left w:w="15" w:type="dxa"/>
                    <w:bottom w:w="0" w:type="dxa"/>
                    <w:right w:w="15" w:type="dxa"/>
                  </w:tcMar>
                  <w:vAlign w:val="bottom"/>
                  <w:hideMark/>
                </w:tcPr>
                <w:p w14:paraId="17817C3A" w14:textId="77777777" w:rsidR="00707551" w:rsidRPr="00403DF5" w:rsidRDefault="00707551" w:rsidP="003F111D">
                  <w:pPr>
                    <w:pStyle w:val="ListParagraph"/>
                    <w:numPr>
                      <w:ilvl w:val="0"/>
                      <w:numId w:val="80"/>
                    </w:numPr>
                    <w:rPr>
                      <w:color w:val="000000"/>
                    </w:rPr>
                  </w:pPr>
                  <w:r w:rsidRPr="00403DF5">
                    <w:rPr>
                      <w:color w:val="000000"/>
                      <w:lang w:val="en-ZA"/>
                    </w:rPr>
                    <w:t>PwC</w:t>
                  </w:r>
                </w:p>
              </w:tc>
            </w:tr>
            <w:tr w:rsidR="00707551" w:rsidRPr="006561FF" w14:paraId="011A9E03" w14:textId="77777777" w:rsidTr="00875BF5">
              <w:trPr>
                <w:trHeight w:val="610"/>
              </w:trPr>
              <w:tc>
                <w:tcPr>
                  <w:tcW w:w="5520" w:type="dxa"/>
                  <w:tcBorders>
                    <w:top w:val="nil"/>
                    <w:left w:val="nil"/>
                    <w:bottom w:val="nil"/>
                    <w:right w:val="nil"/>
                  </w:tcBorders>
                  <w:shd w:val="clear" w:color="auto" w:fill="auto"/>
                  <w:tcMar>
                    <w:top w:w="15" w:type="dxa"/>
                    <w:left w:w="15" w:type="dxa"/>
                    <w:bottom w:w="0" w:type="dxa"/>
                    <w:right w:w="15" w:type="dxa"/>
                  </w:tcMar>
                  <w:vAlign w:val="bottom"/>
                  <w:hideMark/>
                </w:tcPr>
                <w:p w14:paraId="32B5BCD9" w14:textId="77777777" w:rsidR="00707551" w:rsidRPr="00403DF5" w:rsidRDefault="00707551" w:rsidP="003F111D">
                  <w:pPr>
                    <w:pStyle w:val="ListParagraph"/>
                    <w:numPr>
                      <w:ilvl w:val="0"/>
                      <w:numId w:val="80"/>
                    </w:numPr>
                    <w:rPr>
                      <w:color w:val="000000"/>
                    </w:rPr>
                  </w:pPr>
                  <w:r w:rsidRPr="00403DF5">
                    <w:rPr>
                      <w:color w:val="000000"/>
                      <w:lang w:val="en-ZA"/>
                    </w:rPr>
                    <w:t xml:space="preserve">Richards Bay Industrial Development Zone Company SOC </w:t>
                  </w:r>
                  <w:r w:rsidRPr="00403DF5">
                    <w:rPr>
                      <w:color w:val="000000"/>
                      <w:lang w:val="en-ZA"/>
                    </w:rPr>
                    <w:br/>
                    <w:t>Ltd (RBIDZ)</w:t>
                  </w:r>
                </w:p>
              </w:tc>
            </w:tr>
            <w:tr w:rsidR="00707551" w:rsidRPr="006561FF" w14:paraId="499DA266" w14:textId="77777777" w:rsidTr="00875BF5">
              <w:trPr>
                <w:trHeight w:val="340"/>
              </w:trPr>
              <w:tc>
                <w:tcPr>
                  <w:tcW w:w="5520" w:type="dxa"/>
                  <w:tcBorders>
                    <w:top w:val="nil"/>
                    <w:left w:val="nil"/>
                    <w:bottom w:val="nil"/>
                    <w:right w:val="nil"/>
                  </w:tcBorders>
                  <w:shd w:val="clear" w:color="auto" w:fill="auto"/>
                  <w:tcMar>
                    <w:top w:w="15" w:type="dxa"/>
                    <w:left w:w="15" w:type="dxa"/>
                    <w:bottom w:w="0" w:type="dxa"/>
                    <w:right w:w="15" w:type="dxa"/>
                  </w:tcMar>
                  <w:vAlign w:val="bottom"/>
                  <w:hideMark/>
                </w:tcPr>
                <w:p w14:paraId="752C9002" w14:textId="77777777" w:rsidR="00707551" w:rsidRPr="00403DF5" w:rsidRDefault="00707551" w:rsidP="003F111D">
                  <w:pPr>
                    <w:pStyle w:val="ListParagraph"/>
                    <w:numPr>
                      <w:ilvl w:val="0"/>
                      <w:numId w:val="80"/>
                    </w:numPr>
                    <w:rPr>
                      <w:color w:val="000000"/>
                    </w:rPr>
                  </w:pPr>
                  <w:r w:rsidRPr="00403DF5">
                    <w:rPr>
                      <w:color w:val="000000"/>
                      <w:lang w:val="en-ZA"/>
                    </w:rPr>
                    <w:t>South African Insurance Association (SAIA)</w:t>
                  </w:r>
                </w:p>
              </w:tc>
            </w:tr>
            <w:tr w:rsidR="00707551" w:rsidRPr="006561FF" w14:paraId="2ED157D8" w14:textId="77777777" w:rsidTr="00875BF5">
              <w:trPr>
                <w:trHeight w:val="290"/>
              </w:trPr>
              <w:tc>
                <w:tcPr>
                  <w:tcW w:w="5520" w:type="dxa"/>
                  <w:tcBorders>
                    <w:top w:val="nil"/>
                    <w:left w:val="nil"/>
                    <w:bottom w:val="nil"/>
                    <w:right w:val="nil"/>
                  </w:tcBorders>
                  <w:shd w:val="clear" w:color="auto" w:fill="auto"/>
                  <w:tcMar>
                    <w:top w:w="15" w:type="dxa"/>
                    <w:left w:w="15" w:type="dxa"/>
                    <w:bottom w:w="0" w:type="dxa"/>
                    <w:right w:w="15" w:type="dxa"/>
                  </w:tcMar>
                  <w:vAlign w:val="bottom"/>
                  <w:hideMark/>
                </w:tcPr>
                <w:p w14:paraId="3F6C0A3B" w14:textId="77777777" w:rsidR="00707551" w:rsidRPr="00403DF5" w:rsidRDefault="00707551" w:rsidP="003F111D">
                  <w:pPr>
                    <w:pStyle w:val="ListParagraph"/>
                    <w:numPr>
                      <w:ilvl w:val="0"/>
                      <w:numId w:val="80"/>
                    </w:numPr>
                    <w:rPr>
                      <w:color w:val="000000"/>
                    </w:rPr>
                  </w:pPr>
                  <w:r w:rsidRPr="00403DF5">
                    <w:rPr>
                      <w:color w:val="000000"/>
                      <w:lang w:val="en-ZA"/>
                    </w:rPr>
                    <w:t>South African Institute of Chartered Accountants (SAICA)</w:t>
                  </w:r>
                </w:p>
              </w:tc>
            </w:tr>
            <w:tr w:rsidR="00707551" w:rsidRPr="006561FF" w14:paraId="68AAD82A" w14:textId="77777777" w:rsidTr="00875BF5">
              <w:trPr>
                <w:trHeight w:val="300"/>
              </w:trPr>
              <w:tc>
                <w:tcPr>
                  <w:tcW w:w="5520" w:type="dxa"/>
                  <w:tcBorders>
                    <w:top w:val="nil"/>
                    <w:left w:val="nil"/>
                    <w:bottom w:val="nil"/>
                    <w:right w:val="nil"/>
                  </w:tcBorders>
                  <w:shd w:val="clear" w:color="auto" w:fill="auto"/>
                  <w:tcMar>
                    <w:top w:w="15" w:type="dxa"/>
                    <w:left w:w="15" w:type="dxa"/>
                    <w:bottom w:w="0" w:type="dxa"/>
                    <w:right w:w="15" w:type="dxa"/>
                  </w:tcMar>
                  <w:vAlign w:val="bottom"/>
                  <w:hideMark/>
                </w:tcPr>
                <w:p w14:paraId="3023CE37" w14:textId="77777777" w:rsidR="00707551" w:rsidRPr="00403DF5" w:rsidRDefault="00707551" w:rsidP="003F111D">
                  <w:pPr>
                    <w:pStyle w:val="ListParagraph"/>
                    <w:numPr>
                      <w:ilvl w:val="0"/>
                      <w:numId w:val="80"/>
                    </w:numPr>
                    <w:rPr>
                      <w:color w:val="000000"/>
                    </w:rPr>
                  </w:pPr>
                  <w:r w:rsidRPr="00403DF5">
                    <w:rPr>
                      <w:color w:val="000000"/>
                      <w:lang w:val="en-ZA"/>
                    </w:rPr>
                    <w:t>South African Institute of Professional Accountants (SAIPA)</w:t>
                  </w:r>
                </w:p>
              </w:tc>
            </w:tr>
            <w:tr w:rsidR="00707551" w:rsidRPr="006561FF" w14:paraId="41CDC65B" w14:textId="77777777" w:rsidTr="00875BF5">
              <w:trPr>
                <w:trHeight w:val="300"/>
              </w:trPr>
              <w:tc>
                <w:tcPr>
                  <w:tcW w:w="5520" w:type="dxa"/>
                  <w:tcBorders>
                    <w:top w:val="nil"/>
                    <w:left w:val="nil"/>
                    <w:bottom w:val="nil"/>
                    <w:right w:val="nil"/>
                  </w:tcBorders>
                  <w:shd w:val="clear" w:color="auto" w:fill="auto"/>
                  <w:tcMar>
                    <w:top w:w="15" w:type="dxa"/>
                    <w:left w:w="15" w:type="dxa"/>
                    <w:bottom w:w="0" w:type="dxa"/>
                    <w:right w:w="15" w:type="dxa"/>
                  </w:tcMar>
                  <w:vAlign w:val="bottom"/>
                  <w:hideMark/>
                </w:tcPr>
                <w:p w14:paraId="7D33A855" w14:textId="77777777" w:rsidR="00707551" w:rsidRPr="00403DF5" w:rsidRDefault="00707551" w:rsidP="003F111D">
                  <w:pPr>
                    <w:pStyle w:val="ListParagraph"/>
                    <w:numPr>
                      <w:ilvl w:val="0"/>
                      <w:numId w:val="80"/>
                    </w:numPr>
                    <w:rPr>
                      <w:color w:val="000000"/>
                    </w:rPr>
                  </w:pPr>
                  <w:r w:rsidRPr="00403DF5">
                    <w:rPr>
                      <w:color w:val="000000"/>
                      <w:lang w:val="en-ZA"/>
                    </w:rPr>
                    <w:t>South African Iron and Steel Institute (SAISI)</w:t>
                  </w:r>
                </w:p>
              </w:tc>
            </w:tr>
            <w:tr w:rsidR="00707551" w:rsidRPr="006561FF" w14:paraId="313CD381" w14:textId="77777777" w:rsidTr="00875BF5">
              <w:trPr>
                <w:trHeight w:val="290"/>
              </w:trPr>
              <w:tc>
                <w:tcPr>
                  <w:tcW w:w="5520" w:type="dxa"/>
                  <w:tcBorders>
                    <w:top w:val="nil"/>
                    <w:left w:val="nil"/>
                    <w:bottom w:val="nil"/>
                    <w:right w:val="nil"/>
                  </w:tcBorders>
                  <w:shd w:val="clear" w:color="auto" w:fill="auto"/>
                  <w:tcMar>
                    <w:top w:w="15" w:type="dxa"/>
                    <w:left w:w="15" w:type="dxa"/>
                    <w:bottom w:w="0" w:type="dxa"/>
                    <w:right w:w="15" w:type="dxa"/>
                  </w:tcMar>
                  <w:vAlign w:val="bottom"/>
                  <w:hideMark/>
                </w:tcPr>
                <w:p w14:paraId="0E3F661B" w14:textId="77777777" w:rsidR="00707551" w:rsidRPr="00403DF5" w:rsidRDefault="00707551" w:rsidP="003F111D">
                  <w:pPr>
                    <w:pStyle w:val="ListParagraph"/>
                    <w:numPr>
                      <w:ilvl w:val="0"/>
                      <w:numId w:val="80"/>
                    </w:numPr>
                    <w:rPr>
                      <w:color w:val="000000"/>
                    </w:rPr>
                  </w:pPr>
                  <w:r w:rsidRPr="00403DF5">
                    <w:rPr>
                      <w:color w:val="000000"/>
                      <w:lang w:val="en-ZA"/>
                    </w:rPr>
                    <w:t>SARS</w:t>
                  </w:r>
                </w:p>
              </w:tc>
            </w:tr>
            <w:tr w:rsidR="00707551" w:rsidRPr="006561FF" w14:paraId="396BF51E" w14:textId="77777777" w:rsidTr="00875BF5">
              <w:trPr>
                <w:trHeight w:val="290"/>
              </w:trPr>
              <w:tc>
                <w:tcPr>
                  <w:tcW w:w="5520" w:type="dxa"/>
                  <w:tcBorders>
                    <w:top w:val="nil"/>
                    <w:left w:val="nil"/>
                    <w:bottom w:val="nil"/>
                    <w:right w:val="nil"/>
                  </w:tcBorders>
                  <w:shd w:val="clear" w:color="auto" w:fill="auto"/>
                  <w:tcMar>
                    <w:top w:w="15" w:type="dxa"/>
                    <w:left w:w="15" w:type="dxa"/>
                    <w:bottom w:w="0" w:type="dxa"/>
                    <w:right w:w="15" w:type="dxa"/>
                  </w:tcMar>
                  <w:vAlign w:val="bottom"/>
                  <w:hideMark/>
                </w:tcPr>
                <w:p w14:paraId="058AD076" w14:textId="77777777" w:rsidR="00707551" w:rsidRPr="00403DF5" w:rsidRDefault="00707551" w:rsidP="003F111D">
                  <w:pPr>
                    <w:pStyle w:val="ListParagraph"/>
                    <w:numPr>
                      <w:ilvl w:val="0"/>
                      <w:numId w:val="80"/>
                    </w:numPr>
                    <w:rPr>
                      <w:color w:val="000000"/>
                    </w:rPr>
                  </w:pPr>
                  <w:r w:rsidRPr="00403DF5">
                    <w:rPr>
                      <w:color w:val="000000"/>
                      <w:lang w:val="en-ZA"/>
                    </w:rPr>
                    <w:t>Shepstone and Wylie Attorneys</w:t>
                  </w:r>
                </w:p>
              </w:tc>
            </w:tr>
            <w:tr w:rsidR="00707551" w:rsidRPr="006561FF" w14:paraId="155619ED" w14:textId="77777777" w:rsidTr="00875BF5">
              <w:trPr>
                <w:trHeight w:val="290"/>
              </w:trPr>
              <w:tc>
                <w:tcPr>
                  <w:tcW w:w="5520" w:type="dxa"/>
                  <w:tcBorders>
                    <w:top w:val="nil"/>
                    <w:left w:val="nil"/>
                    <w:bottom w:val="nil"/>
                    <w:right w:val="nil"/>
                  </w:tcBorders>
                  <w:shd w:val="clear" w:color="auto" w:fill="auto"/>
                  <w:tcMar>
                    <w:top w:w="15" w:type="dxa"/>
                    <w:left w:w="15" w:type="dxa"/>
                    <w:bottom w:w="0" w:type="dxa"/>
                    <w:right w:w="15" w:type="dxa"/>
                  </w:tcMar>
                  <w:vAlign w:val="bottom"/>
                  <w:hideMark/>
                </w:tcPr>
                <w:p w14:paraId="7DA746DA" w14:textId="77777777" w:rsidR="00707551" w:rsidRPr="00403DF5" w:rsidRDefault="00707551" w:rsidP="003F111D">
                  <w:pPr>
                    <w:pStyle w:val="ListParagraph"/>
                    <w:numPr>
                      <w:ilvl w:val="0"/>
                      <w:numId w:val="80"/>
                    </w:numPr>
                    <w:rPr>
                      <w:color w:val="000000"/>
                    </w:rPr>
                  </w:pPr>
                  <w:r w:rsidRPr="00403DF5">
                    <w:rPr>
                      <w:color w:val="000000"/>
                      <w:lang w:val="en-ZA"/>
                    </w:rPr>
                    <w:t>SNG Grant Thornton</w:t>
                  </w:r>
                </w:p>
              </w:tc>
            </w:tr>
            <w:tr w:rsidR="00707551" w:rsidRPr="006561FF" w14:paraId="1C3B70F0" w14:textId="77777777" w:rsidTr="00875BF5">
              <w:trPr>
                <w:trHeight w:val="300"/>
              </w:trPr>
              <w:tc>
                <w:tcPr>
                  <w:tcW w:w="5520" w:type="dxa"/>
                  <w:tcBorders>
                    <w:top w:val="nil"/>
                    <w:left w:val="nil"/>
                    <w:bottom w:val="nil"/>
                    <w:right w:val="nil"/>
                  </w:tcBorders>
                  <w:shd w:val="clear" w:color="auto" w:fill="auto"/>
                  <w:tcMar>
                    <w:top w:w="15" w:type="dxa"/>
                    <w:left w:w="15" w:type="dxa"/>
                    <w:bottom w:w="0" w:type="dxa"/>
                    <w:right w:w="15" w:type="dxa"/>
                  </w:tcMar>
                  <w:vAlign w:val="bottom"/>
                  <w:hideMark/>
                </w:tcPr>
                <w:p w14:paraId="232D4EF9" w14:textId="77777777" w:rsidR="00707551" w:rsidRPr="00403DF5" w:rsidRDefault="00707551" w:rsidP="003F111D">
                  <w:pPr>
                    <w:pStyle w:val="ListParagraph"/>
                    <w:numPr>
                      <w:ilvl w:val="0"/>
                      <w:numId w:val="80"/>
                    </w:numPr>
                    <w:rPr>
                      <w:color w:val="000000"/>
                    </w:rPr>
                  </w:pPr>
                  <w:r w:rsidRPr="00403DF5">
                    <w:rPr>
                      <w:color w:val="000000"/>
                      <w:lang w:val="en-ZA"/>
                    </w:rPr>
                    <w:t>South African Institute of Taxation</w:t>
                  </w:r>
                </w:p>
              </w:tc>
            </w:tr>
            <w:tr w:rsidR="00707551" w:rsidRPr="006561FF" w14:paraId="549598F5" w14:textId="77777777" w:rsidTr="00875BF5">
              <w:trPr>
                <w:trHeight w:val="580"/>
              </w:trPr>
              <w:tc>
                <w:tcPr>
                  <w:tcW w:w="5520" w:type="dxa"/>
                  <w:tcBorders>
                    <w:top w:val="nil"/>
                    <w:left w:val="nil"/>
                    <w:bottom w:val="nil"/>
                    <w:right w:val="nil"/>
                  </w:tcBorders>
                  <w:shd w:val="clear" w:color="auto" w:fill="auto"/>
                  <w:tcMar>
                    <w:top w:w="15" w:type="dxa"/>
                    <w:left w:w="15" w:type="dxa"/>
                    <w:bottom w:w="0" w:type="dxa"/>
                    <w:right w:w="15" w:type="dxa"/>
                  </w:tcMar>
                  <w:vAlign w:val="bottom"/>
                  <w:hideMark/>
                </w:tcPr>
                <w:p w14:paraId="2F686FCB" w14:textId="77777777" w:rsidR="00707551" w:rsidRPr="00403DF5" w:rsidRDefault="00707551" w:rsidP="003F111D">
                  <w:pPr>
                    <w:pStyle w:val="ListParagraph"/>
                    <w:numPr>
                      <w:ilvl w:val="0"/>
                      <w:numId w:val="80"/>
                    </w:numPr>
                    <w:rPr>
                      <w:color w:val="000000"/>
                    </w:rPr>
                  </w:pPr>
                  <w:r w:rsidRPr="00403DF5">
                    <w:rPr>
                      <w:color w:val="000000"/>
                      <w:lang w:val="en-ZA"/>
                    </w:rPr>
                    <w:t>Southern African Venture Capital and Private Equity Association</w:t>
                  </w:r>
                </w:p>
              </w:tc>
            </w:tr>
            <w:tr w:rsidR="00707551" w:rsidRPr="006561FF" w14:paraId="1E3A2A1A" w14:textId="77777777" w:rsidTr="00875BF5">
              <w:trPr>
                <w:trHeight w:val="290"/>
              </w:trPr>
              <w:tc>
                <w:tcPr>
                  <w:tcW w:w="5520" w:type="dxa"/>
                  <w:tcBorders>
                    <w:top w:val="nil"/>
                    <w:left w:val="nil"/>
                    <w:bottom w:val="nil"/>
                    <w:right w:val="nil"/>
                  </w:tcBorders>
                  <w:shd w:val="clear" w:color="auto" w:fill="auto"/>
                  <w:tcMar>
                    <w:top w:w="15" w:type="dxa"/>
                    <w:left w:w="15" w:type="dxa"/>
                    <w:bottom w:w="0" w:type="dxa"/>
                    <w:right w:w="15" w:type="dxa"/>
                  </w:tcMar>
                  <w:vAlign w:val="bottom"/>
                  <w:hideMark/>
                </w:tcPr>
                <w:p w14:paraId="0A19E385" w14:textId="77777777" w:rsidR="00707551" w:rsidRPr="00403DF5" w:rsidRDefault="00707551" w:rsidP="003F111D">
                  <w:pPr>
                    <w:pStyle w:val="ListParagraph"/>
                    <w:numPr>
                      <w:ilvl w:val="0"/>
                      <w:numId w:val="80"/>
                    </w:numPr>
                    <w:rPr>
                      <w:color w:val="000000"/>
                    </w:rPr>
                  </w:pPr>
                  <w:r w:rsidRPr="00403DF5">
                    <w:rPr>
                      <w:color w:val="000000"/>
                      <w:lang w:val="en-ZA"/>
                    </w:rPr>
                    <w:t>State Security Agency (SSA)</w:t>
                  </w:r>
                </w:p>
              </w:tc>
            </w:tr>
            <w:tr w:rsidR="00707551" w:rsidRPr="006561FF" w14:paraId="6DBE7000" w14:textId="77777777" w:rsidTr="00875BF5">
              <w:trPr>
                <w:trHeight w:val="290"/>
              </w:trPr>
              <w:tc>
                <w:tcPr>
                  <w:tcW w:w="5520" w:type="dxa"/>
                  <w:tcBorders>
                    <w:top w:val="nil"/>
                    <w:left w:val="nil"/>
                    <w:bottom w:val="nil"/>
                    <w:right w:val="nil"/>
                  </w:tcBorders>
                  <w:shd w:val="clear" w:color="auto" w:fill="auto"/>
                  <w:tcMar>
                    <w:top w:w="15" w:type="dxa"/>
                    <w:left w:w="15" w:type="dxa"/>
                    <w:bottom w:w="0" w:type="dxa"/>
                    <w:right w:w="15" w:type="dxa"/>
                  </w:tcMar>
                  <w:vAlign w:val="bottom"/>
                  <w:hideMark/>
                </w:tcPr>
                <w:p w14:paraId="386DF78B" w14:textId="77777777" w:rsidR="00707551" w:rsidRPr="00403DF5" w:rsidRDefault="00707551" w:rsidP="003F111D">
                  <w:pPr>
                    <w:pStyle w:val="ListParagraph"/>
                    <w:numPr>
                      <w:ilvl w:val="0"/>
                      <w:numId w:val="80"/>
                    </w:numPr>
                    <w:rPr>
                      <w:color w:val="000000"/>
                    </w:rPr>
                  </w:pPr>
                  <w:r w:rsidRPr="00403DF5">
                    <w:rPr>
                      <w:color w:val="000000"/>
                      <w:lang w:val="en-ZA"/>
                    </w:rPr>
                    <w:t xml:space="preserve">Stonehage Fleming Financial Services </w:t>
                  </w:r>
                </w:p>
              </w:tc>
            </w:tr>
            <w:tr w:rsidR="00707551" w:rsidRPr="006561FF" w14:paraId="2FBE8FBE" w14:textId="77777777" w:rsidTr="00875BF5">
              <w:trPr>
                <w:trHeight w:val="290"/>
              </w:trPr>
              <w:tc>
                <w:tcPr>
                  <w:tcW w:w="5520" w:type="dxa"/>
                  <w:tcBorders>
                    <w:top w:val="nil"/>
                    <w:left w:val="nil"/>
                    <w:bottom w:val="nil"/>
                    <w:right w:val="nil"/>
                  </w:tcBorders>
                  <w:shd w:val="clear" w:color="auto" w:fill="auto"/>
                  <w:tcMar>
                    <w:top w:w="15" w:type="dxa"/>
                    <w:left w:w="15" w:type="dxa"/>
                    <w:bottom w:w="0" w:type="dxa"/>
                    <w:right w:w="15" w:type="dxa"/>
                  </w:tcMar>
                  <w:vAlign w:val="bottom"/>
                  <w:hideMark/>
                </w:tcPr>
                <w:p w14:paraId="3DDBAE68" w14:textId="77777777" w:rsidR="00707551" w:rsidRPr="00403DF5" w:rsidRDefault="00707551" w:rsidP="003F111D">
                  <w:pPr>
                    <w:pStyle w:val="ListParagraph"/>
                    <w:numPr>
                      <w:ilvl w:val="0"/>
                      <w:numId w:val="80"/>
                    </w:numPr>
                    <w:rPr>
                      <w:color w:val="000000"/>
                    </w:rPr>
                  </w:pPr>
                  <w:r w:rsidRPr="00403DF5">
                    <w:rPr>
                      <w:color w:val="000000"/>
                      <w:lang w:val="en-ZA"/>
                    </w:rPr>
                    <w:t xml:space="preserve">Sun International </w:t>
                  </w:r>
                </w:p>
              </w:tc>
            </w:tr>
            <w:tr w:rsidR="00707551" w:rsidRPr="006561FF" w14:paraId="771B31A3" w14:textId="77777777" w:rsidTr="00875BF5">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9D3C32" w14:textId="77777777" w:rsidR="00707551" w:rsidRPr="00403DF5" w:rsidRDefault="00707551" w:rsidP="003F111D">
                  <w:pPr>
                    <w:pStyle w:val="ListParagraph"/>
                    <w:numPr>
                      <w:ilvl w:val="0"/>
                      <w:numId w:val="80"/>
                    </w:numPr>
                    <w:rPr>
                      <w:color w:val="000000"/>
                    </w:rPr>
                  </w:pPr>
                  <w:r w:rsidRPr="00403DF5">
                    <w:rPr>
                      <w:color w:val="000000"/>
                      <w:lang w:val="en-ZA"/>
                    </w:rPr>
                    <w:t xml:space="preserve">Sydney Mtsweni </w:t>
                  </w:r>
                </w:p>
              </w:tc>
            </w:tr>
            <w:tr w:rsidR="00707551" w:rsidRPr="006561FF" w14:paraId="2B86D6C3" w14:textId="77777777" w:rsidTr="00875BF5">
              <w:trPr>
                <w:trHeight w:val="290"/>
              </w:trPr>
              <w:tc>
                <w:tcPr>
                  <w:tcW w:w="5520" w:type="dxa"/>
                  <w:tcBorders>
                    <w:top w:val="nil"/>
                    <w:left w:val="nil"/>
                    <w:bottom w:val="nil"/>
                    <w:right w:val="nil"/>
                  </w:tcBorders>
                  <w:shd w:val="clear" w:color="auto" w:fill="auto"/>
                  <w:tcMar>
                    <w:top w:w="15" w:type="dxa"/>
                    <w:left w:w="15" w:type="dxa"/>
                    <w:bottom w:w="0" w:type="dxa"/>
                    <w:right w:w="15" w:type="dxa"/>
                  </w:tcMar>
                  <w:vAlign w:val="bottom"/>
                  <w:hideMark/>
                </w:tcPr>
                <w:p w14:paraId="694C347F" w14:textId="77777777" w:rsidR="00707551" w:rsidRPr="00403DF5" w:rsidRDefault="00707551" w:rsidP="003F111D">
                  <w:pPr>
                    <w:pStyle w:val="ListParagraph"/>
                    <w:numPr>
                      <w:ilvl w:val="0"/>
                      <w:numId w:val="80"/>
                    </w:numPr>
                    <w:rPr>
                      <w:color w:val="000000"/>
                    </w:rPr>
                  </w:pPr>
                  <w:r w:rsidRPr="00403DF5">
                    <w:rPr>
                      <w:color w:val="000000"/>
                      <w:lang w:val="en-ZA"/>
                    </w:rPr>
                    <w:t>Takealot Group</w:t>
                  </w:r>
                </w:p>
              </w:tc>
            </w:tr>
            <w:tr w:rsidR="00707551" w:rsidRPr="006561FF" w14:paraId="17F237AD" w14:textId="77777777" w:rsidTr="00875BF5">
              <w:trPr>
                <w:trHeight w:val="280"/>
              </w:trPr>
              <w:tc>
                <w:tcPr>
                  <w:tcW w:w="5520" w:type="dxa"/>
                  <w:tcBorders>
                    <w:top w:val="nil"/>
                    <w:left w:val="nil"/>
                    <w:bottom w:val="nil"/>
                    <w:right w:val="nil"/>
                  </w:tcBorders>
                  <w:shd w:val="clear" w:color="auto" w:fill="auto"/>
                  <w:tcMar>
                    <w:top w:w="15" w:type="dxa"/>
                    <w:left w:w="15" w:type="dxa"/>
                    <w:bottom w:w="0" w:type="dxa"/>
                    <w:right w:w="15" w:type="dxa"/>
                  </w:tcMar>
                  <w:vAlign w:val="bottom"/>
                  <w:hideMark/>
                </w:tcPr>
                <w:p w14:paraId="6EE9BC85" w14:textId="77777777" w:rsidR="00707551" w:rsidRPr="00403DF5" w:rsidRDefault="00707551" w:rsidP="003F111D">
                  <w:pPr>
                    <w:pStyle w:val="ListParagraph"/>
                    <w:numPr>
                      <w:ilvl w:val="0"/>
                      <w:numId w:val="80"/>
                    </w:numPr>
                    <w:rPr>
                      <w:color w:val="000000"/>
                    </w:rPr>
                  </w:pPr>
                  <w:r w:rsidRPr="00403DF5">
                    <w:rPr>
                      <w:color w:val="000000"/>
                      <w:lang w:val="en-ZA"/>
                    </w:rPr>
                    <w:t>Telkom</w:t>
                  </w:r>
                </w:p>
              </w:tc>
            </w:tr>
            <w:tr w:rsidR="00707551" w:rsidRPr="006561FF" w14:paraId="5C02D853" w14:textId="77777777" w:rsidTr="00875BF5">
              <w:trPr>
                <w:trHeight w:val="290"/>
              </w:trPr>
              <w:tc>
                <w:tcPr>
                  <w:tcW w:w="5520" w:type="dxa"/>
                  <w:tcBorders>
                    <w:top w:val="nil"/>
                    <w:left w:val="nil"/>
                    <w:bottom w:val="nil"/>
                    <w:right w:val="nil"/>
                  </w:tcBorders>
                  <w:shd w:val="clear" w:color="auto" w:fill="auto"/>
                  <w:tcMar>
                    <w:top w:w="15" w:type="dxa"/>
                    <w:left w:w="15" w:type="dxa"/>
                    <w:bottom w:w="0" w:type="dxa"/>
                    <w:right w:w="15" w:type="dxa"/>
                  </w:tcMar>
                  <w:vAlign w:val="bottom"/>
                  <w:hideMark/>
                </w:tcPr>
                <w:p w14:paraId="424E96FA" w14:textId="77777777" w:rsidR="00707551" w:rsidRPr="00403DF5" w:rsidRDefault="00707551" w:rsidP="003F111D">
                  <w:pPr>
                    <w:pStyle w:val="ListParagraph"/>
                    <w:numPr>
                      <w:ilvl w:val="0"/>
                      <w:numId w:val="80"/>
                    </w:numPr>
                    <w:rPr>
                      <w:color w:val="000000"/>
                    </w:rPr>
                  </w:pPr>
                  <w:r w:rsidRPr="00403DF5">
                    <w:rPr>
                      <w:color w:val="000000"/>
                      <w:lang w:val="en-ZA"/>
                    </w:rPr>
                    <w:t>The Digital Council Africa (DCA)</w:t>
                  </w:r>
                </w:p>
              </w:tc>
            </w:tr>
            <w:tr w:rsidR="00707551" w:rsidRPr="006561FF" w14:paraId="352DF076" w14:textId="77777777" w:rsidTr="00875BF5">
              <w:trPr>
                <w:trHeight w:val="300"/>
              </w:trPr>
              <w:tc>
                <w:tcPr>
                  <w:tcW w:w="5520" w:type="dxa"/>
                  <w:tcBorders>
                    <w:top w:val="nil"/>
                    <w:left w:val="nil"/>
                    <w:bottom w:val="nil"/>
                    <w:right w:val="nil"/>
                  </w:tcBorders>
                  <w:shd w:val="clear" w:color="auto" w:fill="auto"/>
                  <w:tcMar>
                    <w:top w:w="15" w:type="dxa"/>
                    <w:left w:w="15" w:type="dxa"/>
                    <w:bottom w:w="0" w:type="dxa"/>
                    <w:right w:w="15" w:type="dxa"/>
                  </w:tcMar>
                  <w:vAlign w:val="bottom"/>
                  <w:hideMark/>
                </w:tcPr>
                <w:p w14:paraId="7431CA61" w14:textId="77777777" w:rsidR="00707551" w:rsidRPr="00403DF5" w:rsidRDefault="00707551" w:rsidP="003F111D">
                  <w:pPr>
                    <w:pStyle w:val="ListParagraph"/>
                    <w:numPr>
                      <w:ilvl w:val="0"/>
                      <w:numId w:val="80"/>
                    </w:numPr>
                    <w:rPr>
                      <w:color w:val="000000"/>
                    </w:rPr>
                  </w:pPr>
                  <w:r w:rsidRPr="00403DF5">
                    <w:rPr>
                      <w:color w:val="000000"/>
                      <w:lang w:val="en-ZA"/>
                    </w:rPr>
                    <w:t xml:space="preserve">The Fuels Industry Association of South Africa </w:t>
                  </w:r>
                </w:p>
              </w:tc>
            </w:tr>
            <w:tr w:rsidR="00707551" w:rsidRPr="006561FF" w14:paraId="38774C03" w14:textId="77777777" w:rsidTr="00875BF5">
              <w:trPr>
                <w:trHeight w:val="290"/>
              </w:trPr>
              <w:tc>
                <w:tcPr>
                  <w:tcW w:w="5520" w:type="dxa"/>
                  <w:tcBorders>
                    <w:top w:val="nil"/>
                    <w:left w:val="nil"/>
                    <w:bottom w:val="nil"/>
                    <w:right w:val="nil"/>
                  </w:tcBorders>
                  <w:shd w:val="clear" w:color="auto" w:fill="auto"/>
                  <w:tcMar>
                    <w:top w:w="15" w:type="dxa"/>
                    <w:left w:w="15" w:type="dxa"/>
                    <w:bottom w:w="0" w:type="dxa"/>
                    <w:right w:w="15" w:type="dxa"/>
                  </w:tcMar>
                  <w:vAlign w:val="bottom"/>
                  <w:hideMark/>
                </w:tcPr>
                <w:p w14:paraId="3E6EB735" w14:textId="77777777" w:rsidR="00707551" w:rsidRPr="00403DF5" w:rsidRDefault="00707551" w:rsidP="003F111D">
                  <w:pPr>
                    <w:pStyle w:val="ListParagraph"/>
                    <w:numPr>
                      <w:ilvl w:val="0"/>
                      <w:numId w:val="80"/>
                    </w:numPr>
                    <w:rPr>
                      <w:color w:val="000000"/>
                    </w:rPr>
                  </w:pPr>
                  <w:r w:rsidRPr="00403DF5">
                    <w:rPr>
                      <w:color w:val="000000"/>
                      <w:lang w:val="en-ZA"/>
                    </w:rPr>
                    <w:t>The South African Property Owners Association (SAPOA)</w:t>
                  </w:r>
                </w:p>
              </w:tc>
            </w:tr>
            <w:tr w:rsidR="00707551" w:rsidRPr="006561FF" w14:paraId="05DCFB15" w14:textId="77777777" w:rsidTr="00875BF5">
              <w:trPr>
                <w:trHeight w:val="340"/>
              </w:trPr>
              <w:tc>
                <w:tcPr>
                  <w:tcW w:w="5520" w:type="dxa"/>
                  <w:tcBorders>
                    <w:top w:val="nil"/>
                    <w:left w:val="nil"/>
                    <w:bottom w:val="nil"/>
                    <w:right w:val="nil"/>
                  </w:tcBorders>
                  <w:shd w:val="clear" w:color="auto" w:fill="auto"/>
                  <w:tcMar>
                    <w:top w:w="15" w:type="dxa"/>
                    <w:left w:w="15" w:type="dxa"/>
                    <w:bottom w:w="0" w:type="dxa"/>
                    <w:right w:w="15" w:type="dxa"/>
                  </w:tcMar>
                  <w:vAlign w:val="bottom"/>
                  <w:hideMark/>
                </w:tcPr>
                <w:p w14:paraId="53ABEE2C" w14:textId="77777777" w:rsidR="00707551" w:rsidRPr="00403DF5" w:rsidRDefault="00707551" w:rsidP="003F111D">
                  <w:pPr>
                    <w:pStyle w:val="ListParagraph"/>
                    <w:numPr>
                      <w:ilvl w:val="0"/>
                      <w:numId w:val="80"/>
                    </w:numPr>
                    <w:rPr>
                      <w:color w:val="000000"/>
                    </w:rPr>
                  </w:pPr>
                  <w:r w:rsidRPr="00403DF5">
                    <w:rPr>
                      <w:color w:val="000000"/>
                      <w:lang w:val="en-ZA"/>
                    </w:rPr>
                    <w:t>The University of Stellenbosch (SU)</w:t>
                  </w:r>
                </w:p>
              </w:tc>
            </w:tr>
            <w:tr w:rsidR="00707551" w:rsidRPr="006561FF" w14:paraId="518AA671" w14:textId="77777777" w:rsidTr="00875BF5">
              <w:trPr>
                <w:trHeight w:val="29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991A17" w14:textId="77777777" w:rsidR="00707551" w:rsidRPr="00403DF5" w:rsidRDefault="00707551" w:rsidP="003F111D">
                  <w:pPr>
                    <w:pStyle w:val="ListParagraph"/>
                    <w:numPr>
                      <w:ilvl w:val="0"/>
                      <w:numId w:val="80"/>
                    </w:numPr>
                    <w:rPr>
                      <w:color w:val="000000"/>
                    </w:rPr>
                  </w:pPr>
                  <w:r w:rsidRPr="00403DF5">
                    <w:rPr>
                      <w:color w:val="000000"/>
                      <w:lang w:val="en-ZA"/>
                    </w:rPr>
                    <w:t>Towers Watson</w:t>
                  </w:r>
                </w:p>
              </w:tc>
            </w:tr>
            <w:tr w:rsidR="00707551" w:rsidRPr="006561FF" w14:paraId="1E4BACCB" w14:textId="77777777" w:rsidTr="00875BF5">
              <w:trPr>
                <w:trHeight w:val="290"/>
              </w:trPr>
              <w:tc>
                <w:tcPr>
                  <w:tcW w:w="5520" w:type="dxa"/>
                  <w:tcBorders>
                    <w:top w:val="nil"/>
                    <w:left w:val="nil"/>
                    <w:bottom w:val="nil"/>
                    <w:right w:val="nil"/>
                  </w:tcBorders>
                  <w:shd w:val="clear" w:color="auto" w:fill="auto"/>
                  <w:tcMar>
                    <w:top w:w="15" w:type="dxa"/>
                    <w:left w:w="15" w:type="dxa"/>
                    <w:bottom w:w="0" w:type="dxa"/>
                    <w:right w:w="15" w:type="dxa"/>
                  </w:tcMar>
                  <w:vAlign w:val="bottom"/>
                  <w:hideMark/>
                </w:tcPr>
                <w:p w14:paraId="4F201ED5" w14:textId="77777777" w:rsidR="00707551" w:rsidRPr="00403DF5" w:rsidRDefault="00707551" w:rsidP="003F111D">
                  <w:pPr>
                    <w:pStyle w:val="ListParagraph"/>
                    <w:numPr>
                      <w:ilvl w:val="0"/>
                      <w:numId w:val="80"/>
                    </w:numPr>
                    <w:rPr>
                      <w:color w:val="000000"/>
                    </w:rPr>
                  </w:pPr>
                  <w:r w:rsidRPr="00403DF5">
                    <w:rPr>
                      <w:color w:val="000000"/>
                      <w:lang w:val="en-ZA"/>
                    </w:rPr>
                    <w:t xml:space="preserve">Toyota South Africa </w:t>
                  </w:r>
                </w:p>
              </w:tc>
            </w:tr>
            <w:tr w:rsidR="00707551" w:rsidRPr="006561FF" w14:paraId="5F35038C" w14:textId="77777777" w:rsidTr="00875BF5">
              <w:trPr>
                <w:trHeight w:val="290"/>
              </w:trPr>
              <w:tc>
                <w:tcPr>
                  <w:tcW w:w="5520" w:type="dxa"/>
                  <w:tcBorders>
                    <w:top w:val="nil"/>
                    <w:left w:val="nil"/>
                    <w:bottom w:val="nil"/>
                    <w:right w:val="nil"/>
                  </w:tcBorders>
                  <w:shd w:val="clear" w:color="auto" w:fill="auto"/>
                  <w:tcMar>
                    <w:top w:w="15" w:type="dxa"/>
                    <w:left w:w="15" w:type="dxa"/>
                    <w:bottom w:w="0" w:type="dxa"/>
                    <w:right w:w="15" w:type="dxa"/>
                  </w:tcMar>
                  <w:vAlign w:val="bottom"/>
                  <w:hideMark/>
                </w:tcPr>
                <w:p w14:paraId="5830B24C" w14:textId="77777777" w:rsidR="00707551" w:rsidRPr="00403DF5" w:rsidRDefault="00707551" w:rsidP="003F111D">
                  <w:pPr>
                    <w:pStyle w:val="ListParagraph"/>
                    <w:numPr>
                      <w:ilvl w:val="0"/>
                      <w:numId w:val="80"/>
                    </w:numPr>
                    <w:rPr>
                      <w:color w:val="000000"/>
                    </w:rPr>
                  </w:pPr>
                  <w:r w:rsidRPr="00403DF5">
                    <w:rPr>
                      <w:color w:val="000000"/>
                      <w:lang w:val="en-ZA"/>
                    </w:rPr>
                    <w:t>University of Cape Town (UCT)</w:t>
                  </w:r>
                </w:p>
              </w:tc>
            </w:tr>
            <w:tr w:rsidR="00707551" w:rsidRPr="006561FF" w14:paraId="1C304A2B" w14:textId="77777777" w:rsidTr="00875BF5">
              <w:trPr>
                <w:trHeight w:val="290"/>
              </w:trPr>
              <w:tc>
                <w:tcPr>
                  <w:tcW w:w="5520" w:type="dxa"/>
                  <w:tcBorders>
                    <w:top w:val="nil"/>
                    <w:left w:val="nil"/>
                    <w:bottom w:val="nil"/>
                    <w:right w:val="nil"/>
                  </w:tcBorders>
                  <w:shd w:val="clear" w:color="auto" w:fill="auto"/>
                  <w:tcMar>
                    <w:top w:w="15" w:type="dxa"/>
                    <w:left w:w="15" w:type="dxa"/>
                    <w:bottom w:w="0" w:type="dxa"/>
                    <w:right w:w="15" w:type="dxa"/>
                  </w:tcMar>
                  <w:vAlign w:val="bottom"/>
                  <w:hideMark/>
                </w:tcPr>
                <w:p w14:paraId="0FD5E7F5" w14:textId="77777777" w:rsidR="00707551" w:rsidRPr="00403DF5" w:rsidRDefault="00707551" w:rsidP="003F111D">
                  <w:pPr>
                    <w:pStyle w:val="ListParagraph"/>
                    <w:numPr>
                      <w:ilvl w:val="0"/>
                      <w:numId w:val="80"/>
                    </w:numPr>
                    <w:rPr>
                      <w:color w:val="000000"/>
                    </w:rPr>
                  </w:pPr>
                  <w:r w:rsidRPr="00403DF5">
                    <w:rPr>
                      <w:color w:val="000000"/>
                      <w:lang w:val="en-ZA"/>
                    </w:rPr>
                    <w:t>Unicus Tax Specialists SA</w:t>
                  </w:r>
                </w:p>
              </w:tc>
            </w:tr>
            <w:tr w:rsidR="00707551" w:rsidRPr="006561FF" w14:paraId="492003F5" w14:textId="77777777" w:rsidTr="00875BF5">
              <w:trPr>
                <w:trHeight w:val="290"/>
              </w:trPr>
              <w:tc>
                <w:tcPr>
                  <w:tcW w:w="5520" w:type="dxa"/>
                  <w:tcBorders>
                    <w:top w:val="nil"/>
                    <w:left w:val="nil"/>
                    <w:bottom w:val="nil"/>
                    <w:right w:val="nil"/>
                  </w:tcBorders>
                  <w:shd w:val="clear" w:color="auto" w:fill="auto"/>
                  <w:tcMar>
                    <w:top w:w="15" w:type="dxa"/>
                    <w:left w:w="15" w:type="dxa"/>
                    <w:bottom w:w="0" w:type="dxa"/>
                    <w:right w:w="15" w:type="dxa"/>
                  </w:tcMar>
                  <w:vAlign w:val="bottom"/>
                  <w:hideMark/>
                </w:tcPr>
                <w:p w14:paraId="039A14E3" w14:textId="77777777" w:rsidR="00707551" w:rsidRPr="00403DF5" w:rsidRDefault="00707551" w:rsidP="003F111D">
                  <w:pPr>
                    <w:pStyle w:val="ListParagraph"/>
                    <w:numPr>
                      <w:ilvl w:val="0"/>
                      <w:numId w:val="80"/>
                    </w:numPr>
                    <w:rPr>
                      <w:color w:val="000000"/>
                    </w:rPr>
                  </w:pPr>
                  <w:r w:rsidRPr="00403DF5">
                    <w:rPr>
                      <w:color w:val="000000"/>
                      <w:lang w:val="en-ZA"/>
                    </w:rPr>
                    <w:t>Universities South Africa (USAf)</w:t>
                  </w:r>
                </w:p>
              </w:tc>
            </w:tr>
            <w:tr w:rsidR="00707551" w:rsidRPr="006561FF" w14:paraId="222F8C66" w14:textId="77777777" w:rsidTr="00875BF5">
              <w:trPr>
                <w:trHeight w:val="290"/>
              </w:trPr>
              <w:tc>
                <w:tcPr>
                  <w:tcW w:w="5520" w:type="dxa"/>
                  <w:tcBorders>
                    <w:top w:val="nil"/>
                    <w:left w:val="nil"/>
                    <w:bottom w:val="nil"/>
                    <w:right w:val="nil"/>
                  </w:tcBorders>
                  <w:shd w:val="clear" w:color="auto" w:fill="auto"/>
                  <w:tcMar>
                    <w:top w:w="15" w:type="dxa"/>
                    <w:left w:w="15" w:type="dxa"/>
                    <w:bottom w:w="0" w:type="dxa"/>
                    <w:right w:w="15" w:type="dxa"/>
                  </w:tcMar>
                  <w:vAlign w:val="bottom"/>
                  <w:hideMark/>
                </w:tcPr>
                <w:p w14:paraId="6C44B062" w14:textId="77777777" w:rsidR="00707551" w:rsidRPr="00403DF5" w:rsidRDefault="00707551" w:rsidP="003F111D">
                  <w:pPr>
                    <w:pStyle w:val="ListParagraph"/>
                    <w:numPr>
                      <w:ilvl w:val="0"/>
                      <w:numId w:val="80"/>
                    </w:numPr>
                    <w:rPr>
                      <w:color w:val="000000"/>
                    </w:rPr>
                  </w:pPr>
                  <w:r w:rsidRPr="00403DF5">
                    <w:rPr>
                      <w:color w:val="000000"/>
                      <w:lang w:val="en-ZA"/>
                    </w:rPr>
                    <w:t>University of the Free State (UFS)</w:t>
                  </w:r>
                </w:p>
              </w:tc>
            </w:tr>
            <w:tr w:rsidR="00707551" w:rsidRPr="006561FF" w14:paraId="05A8F9F0" w14:textId="77777777" w:rsidTr="00875BF5">
              <w:trPr>
                <w:trHeight w:val="290"/>
              </w:trPr>
              <w:tc>
                <w:tcPr>
                  <w:tcW w:w="5520" w:type="dxa"/>
                  <w:tcBorders>
                    <w:top w:val="nil"/>
                    <w:left w:val="nil"/>
                    <w:bottom w:val="nil"/>
                    <w:right w:val="nil"/>
                  </w:tcBorders>
                  <w:shd w:val="clear" w:color="auto" w:fill="auto"/>
                  <w:tcMar>
                    <w:top w:w="15" w:type="dxa"/>
                    <w:left w:w="15" w:type="dxa"/>
                    <w:bottom w:w="0" w:type="dxa"/>
                    <w:right w:w="15" w:type="dxa"/>
                  </w:tcMar>
                  <w:vAlign w:val="bottom"/>
                  <w:hideMark/>
                </w:tcPr>
                <w:p w14:paraId="1529F502" w14:textId="77777777" w:rsidR="00707551" w:rsidRPr="00403DF5" w:rsidRDefault="00707551" w:rsidP="003F111D">
                  <w:pPr>
                    <w:pStyle w:val="ListParagraph"/>
                    <w:numPr>
                      <w:ilvl w:val="0"/>
                      <w:numId w:val="80"/>
                    </w:numPr>
                    <w:rPr>
                      <w:color w:val="000000"/>
                    </w:rPr>
                  </w:pPr>
                  <w:r w:rsidRPr="00403DF5">
                    <w:rPr>
                      <w:color w:val="000000"/>
                      <w:lang w:val="en-ZA"/>
                    </w:rPr>
                    <w:t>University of Pretoria (UP)</w:t>
                  </w:r>
                </w:p>
              </w:tc>
            </w:tr>
            <w:tr w:rsidR="00707551" w:rsidRPr="006561FF" w14:paraId="2E87C34F" w14:textId="77777777" w:rsidTr="00875BF5">
              <w:trPr>
                <w:trHeight w:val="290"/>
              </w:trPr>
              <w:tc>
                <w:tcPr>
                  <w:tcW w:w="5520" w:type="dxa"/>
                  <w:tcBorders>
                    <w:top w:val="nil"/>
                    <w:left w:val="nil"/>
                    <w:bottom w:val="nil"/>
                    <w:right w:val="nil"/>
                  </w:tcBorders>
                  <w:shd w:val="clear" w:color="auto" w:fill="auto"/>
                  <w:tcMar>
                    <w:top w:w="15" w:type="dxa"/>
                    <w:left w:w="15" w:type="dxa"/>
                    <w:bottom w:w="0" w:type="dxa"/>
                    <w:right w:w="15" w:type="dxa"/>
                  </w:tcMar>
                  <w:vAlign w:val="bottom"/>
                  <w:hideMark/>
                </w:tcPr>
                <w:p w14:paraId="3E89261C" w14:textId="77777777" w:rsidR="00707551" w:rsidRPr="00403DF5" w:rsidRDefault="00707551" w:rsidP="003F111D">
                  <w:pPr>
                    <w:pStyle w:val="ListParagraph"/>
                    <w:numPr>
                      <w:ilvl w:val="0"/>
                      <w:numId w:val="80"/>
                    </w:numPr>
                    <w:rPr>
                      <w:color w:val="000000"/>
                    </w:rPr>
                  </w:pPr>
                  <w:r w:rsidRPr="00403DF5">
                    <w:rPr>
                      <w:color w:val="000000"/>
                      <w:lang w:val="en-ZA"/>
                    </w:rPr>
                    <w:t>UWC Finance Dept</w:t>
                  </w:r>
                </w:p>
              </w:tc>
            </w:tr>
            <w:tr w:rsidR="00707551" w:rsidRPr="006561FF" w14:paraId="5C589B5B" w14:textId="77777777" w:rsidTr="00875BF5">
              <w:trPr>
                <w:trHeight w:val="290"/>
              </w:trPr>
              <w:tc>
                <w:tcPr>
                  <w:tcW w:w="5520" w:type="dxa"/>
                  <w:tcBorders>
                    <w:top w:val="nil"/>
                    <w:left w:val="nil"/>
                    <w:bottom w:val="nil"/>
                    <w:right w:val="nil"/>
                  </w:tcBorders>
                  <w:shd w:val="clear" w:color="auto" w:fill="auto"/>
                  <w:tcMar>
                    <w:top w:w="15" w:type="dxa"/>
                    <w:left w:w="15" w:type="dxa"/>
                    <w:bottom w:w="0" w:type="dxa"/>
                    <w:right w:w="15" w:type="dxa"/>
                  </w:tcMar>
                  <w:vAlign w:val="bottom"/>
                  <w:hideMark/>
                </w:tcPr>
                <w:p w14:paraId="295C7DF3" w14:textId="77777777" w:rsidR="00707551" w:rsidRPr="00403DF5" w:rsidRDefault="00707551" w:rsidP="003F111D">
                  <w:pPr>
                    <w:pStyle w:val="ListParagraph"/>
                    <w:numPr>
                      <w:ilvl w:val="0"/>
                      <w:numId w:val="80"/>
                    </w:numPr>
                    <w:rPr>
                      <w:color w:val="000000"/>
                    </w:rPr>
                  </w:pPr>
                  <w:r w:rsidRPr="00403DF5">
                    <w:rPr>
                      <w:color w:val="000000"/>
                      <w:lang w:val="en-ZA"/>
                    </w:rPr>
                    <w:t>VAT IQ</w:t>
                  </w:r>
                </w:p>
              </w:tc>
            </w:tr>
            <w:tr w:rsidR="00707551" w:rsidRPr="006561FF" w14:paraId="77759757" w14:textId="77777777" w:rsidTr="00875BF5">
              <w:trPr>
                <w:trHeight w:val="290"/>
              </w:trPr>
              <w:tc>
                <w:tcPr>
                  <w:tcW w:w="5520" w:type="dxa"/>
                  <w:tcBorders>
                    <w:top w:val="nil"/>
                    <w:left w:val="nil"/>
                    <w:bottom w:val="nil"/>
                    <w:right w:val="nil"/>
                  </w:tcBorders>
                  <w:shd w:val="clear" w:color="auto" w:fill="auto"/>
                  <w:tcMar>
                    <w:top w:w="15" w:type="dxa"/>
                    <w:left w:w="15" w:type="dxa"/>
                    <w:bottom w:w="0" w:type="dxa"/>
                    <w:right w:w="15" w:type="dxa"/>
                  </w:tcMar>
                  <w:vAlign w:val="bottom"/>
                  <w:hideMark/>
                </w:tcPr>
                <w:p w14:paraId="4E4CE838" w14:textId="77777777" w:rsidR="00707551" w:rsidRPr="00403DF5" w:rsidRDefault="00707551" w:rsidP="003F111D">
                  <w:pPr>
                    <w:pStyle w:val="ListParagraph"/>
                    <w:numPr>
                      <w:ilvl w:val="0"/>
                      <w:numId w:val="80"/>
                    </w:numPr>
                    <w:rPr>
                      <w:color w:val="000000"/>
                    </w:rPr>
                  </w:pPr>
                  <w:r w:rsidRPr="00403DF5">
                    <w:rPr>
                      <w:color w:val="000000"/>
                      <w:lang w:val="en-ZA"/>
                    </w:rPr>
                    <w:t>Vodacom</w:t>
                  </w:r>
                </w:p>
              </w:tc>
            </w:tr>
            <w:tr w:rsidR="00707551" w:rsidRPr="006561FF" w14:paraId="123953D1" w14:textId="77777777" w:rsidTr="00875BF5">
              <w:trPr>
                <w:trHeight w:val="290"/>
              </w:trPr>
              <w:tc>
                <w:tcPr>
                  <w:tcW w:w="5520" w:type="dxa"/>
                  <w:tcBorders>
                    <w:top w:val="nil"/>
                    <w:left w:val="nil"/>
                    <w:bottom w:val="nil"/>
                    <w:right w:val="nil"/>
                  </w:tcBorders>
                  <w:shd w:val="clear" w:color="auto" w:fill="auto"/>
                  <w:tcMar>
                    <w:top w:w="15" w:type="dxa"/>
                    <w:left w:w="15" w:type="dxa"/>
                    <w:bottom w:w="0" w:type="dxa"/>
                    <w:right w:w="15" w:type="dxa"/>
                  </w:tcMar>
                  <w:vAlign w:val="center"/>
                  <w:hideMark/>
                </w:tcPr>
                <w:p w14:paraId="753BCD21" w14:textId="77777777" w:rsidR="00707551" w:rsidRPr="00403DF5" w:rsidRDefault="00707551" w:rsidP="003F111D">
                  <w:pPr>
                    <w:pStyle w:val="ListParagraph"/>
                    <w:numPr>
                      <w:ilvl w:val="0"/>
                      <w:numId w:val="80"/>
                    </w:numPr>
                    <w:rPr>
                      <w:color w:val="000000"/>
                    </w:rPr>
                  </w:pPr>
                  <w:r w:rsidRPr="00403DF5">
                    <w:rPr>
                      <w:color w:val="000000"/>
                      <w:lang w:val="en-ZA"/>
                    </w:rPr>
                    <w:t>Webber Wentzel</w:t>
                  </w:r>
                </w:p>
              </w:tc>
            </w:tr>
            <w:tr w:rsidR="00707551" w:rsidRPr="006561FF" w14:paraId="11CDB555" w14:textId="77777777" w:rsidTr="00875BF5">
              <w:trPr>
                <w:trHeight w:val="290"/>
              </w:trPr>
              <w:tc>
                <w:tcPr>
                  <w:tcW w:w="5520" w:type="dxa"/>
                  <w:tcBorders>
                    <w:top w:val="nil"/>
                    <w:left w:val="nil"/>
                    <w:bottom w:val="nil"/>
                    <w:right w:val="nil"/>
                  </w:tcBorders>
                  <w:shd w:val="clear" w:color="auto" w:fill="auto"/>
                  <w:tcMar>
                    <w:top w:w="15" w:type="dxa"/>
                    <w:left w:w="15" w:type="dxa"/>
                    <w:bottom w:w="0" w:type="dxa"/>
                    <w:right w:w="15" w:type="dxa"/>
                  </w:tcMar>
                  <w:vAlign w:val="bottom"/>
                  <w:hideMark/>
                </w:tcPr>
                <w:p w14:paraId="3C5130E6" w14:textId="77777777" w:rsidR="00707551" w:rsidRPr="00403DF5" w:rsidRDefault="00707551" w:rsidP="003F111D">
                  <w:pPr>
                    <w:pStyle w:val="ListParagraph"/>
                    <w:numPr>
                      <w:ilvl w:val="0"/>
                      <w:numId w:val="80"/>
                    </w:numPr>
                    <w:rPr>
                      <w:color w:val="000000"/>
                    </w:rPr>
                  </w:pPr>
                  <w:r w:rsidRPr="00403DF5">
                    <w:rPr>
                      <w:color w:val="000000"/>
                      <w:lang w:val="en-ZA"/>
                    </w:rPr>
                    <w:t xml:space="preserve">WITS University </w:t>
                  </w:r>
                </w:p>
              </w:tc>
            </w:tr>
            <w:tr w:rsidR="00707551" w:rsidRPr="006561FF" w14:paraId="213B5DC8" w14:textId="77777777" w:rsidTr="00875BF5">
              <w:trPr>
                <w:trHeight w:val="290"/>
              </w:trPr>
              <w:tc>
                <w:tcPr>
                  <w:tcW w:w="5520" w:type="dxa"/>
                  <w:tcBorders>
                    <w:top w:val="nil"/>
                    <w:left w:val="nil"/>
                    <w:bottom w:val="nil"/>
                    <w:right w:val="nil"/>
                  </w:tcBorders>
                  <w:shd w:val="clear" w:color="auto" w:fill="auto"/>
                  <w:tcMar>
                    <w:top w:w="15" w:type="dxa"/>
                    <w:left w:w="15" w:type="dxa"/>
                    <w:bottom w:w="0" w:type="dxa"/>
                    <w:right w:w="15" w:type="dxa"/>
                  </w:tcMar>
                  <w:vAlign w:val="bottom"/>
                  <w:hideMark/>
                </w:tcPr>
                <w:p w14:paraId="1BB24630" w14:textId="77777777" w:rsidR="00707551" w:rsidRPr="00403DF5" w:rsidRDefault="00707551" w:rsidP="003F111D">
                  <w:pPr>
                    <w:pStyle w:val="ListParagraph"/>
                    <w:numPr>
                      <w:ilvl w:val="0"/>
                      <w:numId w:val="80"/>
                    </w:numPr>
                    <w:rPr>
                      <w:color w:val="000000"/>
                    </w:rPr>
                  </w:pPr>
                  <w:r w:rsidRPr="00403DF5">
                    <w:rPr>
                      <w:color w:val="000000"/>
                      <w:lang w:val="en-ZA"/>
                    </w:rPr>
                    <w:t>Yellow tree</w:t>
                  </w:r>
                </w:p>
              </w:tc>
            </w:tr>
          </w:tbl>
          <w:p w14:paraId="5E090B66" w14:textId="61FF9FC8" w:rsidR="00707551" w:rsidRPr="00403DF5" w:rsidRDefault="00707551" w:rsidP="003F111D">
            <w:pPr>
              <w:pStyle w:val="ListParagraph"/>
              <w:widowControl/>
              <w:numPr>
                <w:ilvl w:val="0"/>
                <w:numId w:val="80"/>
              </w:numPr>
              <w:autoSpaceDE/>
              <w:autoSpaceDN/>
              <w:rPr>
                <w:rFonts w:eastAsia="Times New Roman"/>
                <w:color w:val="000000"/>
                <w:lang w:eastAsia="en-ZA"/>
              </w:rPr>
            </w:pPr>
          </w:p>
        </w:tc>
      </w:tr>
      <w:tr w:rsidR="00707551" w:rsidRPr="006561FF" w14:paraId="4DAE9333" w14:textId="77777777" w:rsidTr="003F111D">
        <w:trPr>
          <w:trHeight w:val="290"/>
        </w:trPr>
        <w:tc>
          <w:tcPr>
            <w:tcW w:w="5736" w:type="dxa"/>
            <w:tcBorders>
              <w:top w:val="nil"/>
              <w:left w:val="nil"/>
              <w:bottom w:val="nil"/>
              <w:right w:val="nil"/>
            </w:tcBorders>
            <w:shd w:val="clear" w:color="auto" w:fill="auto"/>
            <w:hideMark/>
          </w:tcPr>
          <w:p w14:paraId="1470FD35" w14:textId="55F5EC0C" w:rsidR="00707551" w:rsidRPr="00403DF5" w:rsidRDefault="00707551" w:rsidP="00F00C28">
            <w:pPr>
              <w:widowControl/>
              <w:autoSpaceDE/>
              <w:autoSpaceDN/>
              <w:rPr>
                <w:rFonts w:ascii="Arial" w:eastAsia="Times New Roman" w:hAnsi="Arial" w:cs="Arial"/>
                <w:color w:val="000000"/>
                <w:lang w:eastAsia="en-ZA"/>
              </w:rPr>
            </w:pPr>
          </w:p>
        </w:tc>
      </w:tr>
      <w:tr w:rsidR="001C4F7B" w:rsidRPr="006561FF" w14:paraId="3D1AAA6A" w14:textId="77777777" w:rsidTr="003F111D">
        <w:trPr>
          <w:trHeight w:val="60"/>
        </w:trPr>
        <w:tc>
          <w:tcPr>
            <w:tcW w:w="5736" w:type="dxa"/>
            <w:tcBorders>
              <w:top w:val="nil"/>
              <w:left w:val="nil"/>
              <w:bottom w:val="nil"/>
              <w:right w:val="nil"/>
            </w:tcBorders>
            <w:shd w:val="clear" w:color="auto" w:fill="auto"/>
            <w:vAlign w:val="bottom"/>
            <w:hideMark/>
          </w:tcPr>
          <w:p w14:paraId="20497503" w14:textId="77777777" w:rsidR="001C4F7B" w:rsidRPr="00403DF5" w:rsidRDefault="001C4F7B" w:rsidP="001C4F7B">
            <w:pPr>
              <w:widowControl/>
              <w:autoSpaceDE/>
              <w:autoSpaceDN/>
              <w:rPr>
                <w:rFonts w:ascii="Arial" w:eastAsia="Times New Roman" w:hAnsi="Arial" w:cs="Arial"/>
                <w:color w:val="000000"/>
                <w:lang w:eastAsia="en-ZA"/>
              </w:rPr>
            </w:pPr>
          </w:p>
        </w:tc>
      </w:tr>
      <w:tr w:rsidR="001C4F7B" w:rsidRPr="006561FF" w14:paraId="361AE291" w14:textId="77777777" w:rsidTr="003F111D">
        <w:trPr>
          <w:trHeight w:val="310"/>
        </w:trPr>
        <w:tc>
          <w:tcPr>
            <w:tcW w:w="5736" w:type="dxa"/>
            <w:tcBorders>
              <w:top w:val="nil"/>
              <w:left w:val="nil"/>
              <w:bottom w:val="nil"/>
              <w:right w:val="nil"/>
            </w:tcBorders>
            <w:shd w:val="clear" w:color="auto" w:fill="auto"/>
            <w:vAlign w:val="bottom"/>
            <w:hideMark/>
          </w:tcPr>
          <w:p w14:paraId="4308726F" w14:textId="77777777" w:rsidR="001C4F7B" w:rsidRPr="00403DF5" w:rsidRDefault="001C4F7B" w:rsidP="001C4F7B">
            <w:pPr>
              <w:widowControl/>
              <w:autoSpaceDE/>
              <w:autoSpaceDN/>
              <w:rPr>
                <w:rFonts w:ascii="Arial" w:eastAsia="Times New Roman" w:hAnsi="Arial" w:cs="Arial"/>
                <w:b/>
                <w:bCs/>
                <w:color w:val="000000"/>
                <w:u w:val="single"/>
                <w:lang w:eastAsia="en-ZA"/>
              </w:rPr>
            </w:pPr>
            <w:r w:rsidRPr="00403DF5">
              <w:rPr>
                <w:rFonts w:ascii="Arial" w:eastAsia="Times New Roman" w:hAnsi="Arial" w:cs="Arial"/>
                <w:b/>
                <w:bCs/>
                <w:color w:val="000000"/>
                <w:u w:val="single"/>
                <w:lang w:eastAsia="en-ZA"/>
              </w:rPr>
              <w:t xml:space="preserve">Individuals </w:t>
            </w:r>
          </w:p>
        </w:tc>
      </w:tr>
      <w:tr w:rsidR="001C4F7B" w:rsidRPr="006561FF" w14:paraId="0B026B1A" w14:textId="77777777" w:rsidTr="003F111D">
        <w:trPr>
          <w:trHeight w:val="310"/>
        </w:trPr>
        <w:tc>
          <w:tcPr>
            <w:tcW w:w="5736" w:type="dxa"/>
            <w:tcBorders>
              <w:top w:val="nil"/>
              <w:left w:val="nil"/>
              <w:bottom w:val="nil"/>
              <w:right w:val="nil"/>
            </w:tcBorders>
            <w:shd w:val="clear" w:color="auto" w:fill="auto"/>
            <w:vAlign w:val="bottom"/>
            <w:hideMark/>
          </w:tcPr>
          <w:p w14:paraId="4072B123" w14:textId="77777777" w:rsidR="001C4F7B" w:rsidRPr="00403DF5" w:rsidRDefault="001C4F7B" w:rsidP="003F111D">
            <w:pPr>
              <w:pStyle w:val="ListParagraph"/>
              <w:widowControl/>
              <w:numPr>
                <w:ilvl w:val="0"/>
                <w:numId w:val="79"/>
              </w:numPr>
              <w:autoSpaceDE/>
              <w:autoSpaceDN/>
              <w:rPr>
                <w:rFonts w:eastAsia="Times New Roman"/>
                <w:color w:val="000000"/>
                <w:lang w:eastAsia="en-ZA"/>
              </w:rPr>
            </w:pPr>
            <w:r w:rsidRPr="00403DF5">
              <w:rPr>
                <w:rFonts w:eastAsia="Times New Roman"/>
                <w:color w:val="000000"/>
                <w:lang w:val="en-ZA" w:eastAsia="en-ZA"/>
              </w:rPr>
              <w:t>Adv Annemie Triegaardt</w:t>
            </w:r>
          </w:p>
        </w:tc>
      </w:tr>
      <w:tr w:rsidR="001C4F7B" w:rsidRPr="006561FF" w14:paraId="2AFCBB47" w14:textId="77777777" w:rsidTr="003F111D">
        <w:trPr>
          <w:trHeight w:val="310"/>
        </w:trPr>
        <w:tc>
          <w:tcPr>
            <w:tcW w:w="5736" w:type="dxa"/>
            <w:tcBorders>
              <w:top w:val="nil"/>
              <w:left w:val="nil"/>
              <w:bottom w:val="nil"/>
              <w:right w:val="nil"/>
            </w:tcBorders>
            <w:shd w:val="clear" w:color="auto" w:fill="auto"/>
            <w:vAlign w:val="bottom"/>
            <w:hideMark/>
          </w:tcPr>
          <w:p w14:paraId="76D380AF" w14:textId="77777777" w:rsidR="001C4F7B" w:rsidRPr="00403DF5" w:rsidRDefault="001C4F7B" w:rsidP="003F111D">
            <w:pPr>
              <w:pStyle w:val="ListParagraph"/>
              <w:widowControl/>
              <w:numPr>
                <w:ilvl w:val="0"/>
                <w:numId w:val="79"/>
              </w:numPr>
              <w:autoSpaceDE/>
              <w:autoSpaceDN/>
              <w:rPr>
                <w:rFonts w:eastAsia="Times New Roman"/>
                <w:color w:val="000000"/>
                <w:lang w:eastAsia="en-ZA"/>
              </w:rPr>
            </w:pPr>
            <w:r w:rsidRPr="00403DF5">
              <w:rPr>
                <w:rFonts w:eastAsia="Times New Roman"/>
                <w:color w:val="000000"/>
                <w:lang w:val="en-ZA" w:eastAsia="en-ZA"/>
              </w:rPr>
              <w:t xml:space="preserve">Jacques Potgieter </w:t>
            </w:r>
          </w:p>
        </w:tc>
      </w:tr>
      <w:tr w:rsidR="001C4F7B" w:rsidRPr="006561FF" w14:paraId="47667ACE" w14:textId="77777777" w:rsidTr="003F111D">
        <w:trPr>
          <w:trHeight w:val="310"/>
        </w:trPr>
        <w:tc>
          <w:tcPr>
            <w:tcW w:w="5736" w:type="dxa"/>
            <w:tcBorders>
              <w:top w:val="nil"/>
              <w:left w:val="nil"/>
              <w:bottom w:val="nil"/>
              <w:right w:val="nil"/>
            </w:tcBorders>
            <w:shd w:val="clear" w:color="auto" w:fill="auto"/>
            <w:vAlign w:val="bottom"/>
            <w:hideMark/>
          </w:tcPr>
          <w:p w14:paraId="3CA95674" w14:textId="77777777" w:rsidR="001C4F7B" w:rsidRPr="00403DF5" w:rsidRDefault="001C4F7B" w:rsidP="003F111D">
            <w:pPr>
              <w:pStyle w:val="ListParagraph"/>
              <w:widowControl/>
              <w:numPr>
                <w:ilvl w:val="0"/>
                <w:numId w:val="79"/>
              </w:numPr>
              <w:autoSpaceDE/>
              <w:autoSpaceDN/>
              <w:rPr>
                <w:rFonts w:eastAsia="Times New Roman"/>
                <w:color w:val="000000"/>
                <w:lang w:eastAsia="en-ZA"/>
              </w:rPr>
            </w:pPr>
            <w:r w:rsidRPr="00403DF5">
              <w:rPr>
                <w:rFonts w:eastAsia="Times New Roman"/>
                <w:color w:val="000000"/>
                <w:lang w:val="en-ZA" w:eastAsia="en-ZA"/>
              </w:rPr>
              <w:t xml:space="preserve">Johan Coetzer </w:t>
            </w:r>
          </w:p>
        </w:tc>
      </w:tr>
      <w:tr w:rsidR="001C4F7B" w:rsidRPr="006561FF" w14:paraId="33A42EBF" w14:textId="77777777" w:rsidTr="003F111D">
        <w:trPr>
          <w:trHeight w:val="310"/>
        </w:trPr>
        <w:tc>
          <w:tcPr>
            <w:tcW w:w="5736" w:type="dxa"/>
            <w:tcBorders>
              <w:top w:val="nil"/>
              <w:left w:val="nil"/>
              <w:bottom w:val="nil"/>
              <w:right w:val="nil"/>
            </w:tcBorders>
            <w:shd w:val="clear" w:color="auto" w:fill="auto"/>
            <w:noWrap/>
            <w:vAlign w:val="center"/>
            <w:hideMark/>
          </w:tcPr>
          <w:p w14:paraId="4182026F" w14:textId="77777777" w:rsidR="001C4F7B" w:rsidRPr="00403DF5" w:rsidRDefault="001C4F7B" w:rsidP="003F111D">
            <w:pPr>
              <w:pStyle w:val="ListParagraph"/>
              <w:widowControl/>
              <w:numPr>
                <w:ilvl w:val="0"/>
                <w:numId w:val="79"/>
              </w:numPr>
              <w:autoSpaceDE/>
              <w:autoSpaceDN/>
              <w:rPr>
                <w:rFonts w:eastAsia="Times New Roman"/>
                <w:color w:val="000000"/>
                <w:lang w:eastAsia="en-ZA"/>
              </w:rPr>
            </w:pPr>
            <w:r w:rsidRPr="00403DF5">
              <w:rPr>
                <w:rFonts w:eastAsia="Times New Roman"/>
                <w:color w:val="000000"/>
                <w:lang w:val="en-ZA" w:eastAsia="en-ZA"/>
              </w:rPr>
              <w:t>Kobus van den Bergh</w:t>
            </w:r>
          </w:p>
        </w:tc>
      </w:tr>
      <w:tr w:rsidR="001C4F7B" w:rsidRPr="006561FF" w14:paraId="33DB22AD" w14:textId="77777777" w:rsidTr="003F111D">
        <w:trPr>
          <w:trHeight w:val="310"/>
        </w:trPr>
        <w:tc>
          <w:tcPr>
            <w:tcW w:w="5736" w:type="dxa"/>
            <w:tcBorders>
              <w:top w:val="nil"/>
              <w:left w:val="nil"/>
              <w:bottom w:val="nil"/>
              <w:right w:val="nil"/>
            </w:tcBorders>
            <w:shd w:val="clear" w:color="auto" w:fill="auto"/>
            <w:vAlign w:val="bottom"/>
            <w:hideMark/>
          </w:tcPr>
          <w:p w14:paraId="3CA227BC" w14:textId="77777777" w:rsidR="001C4F7B" w:rsidRPr="00403DF5" w:rsidRDefault="001C4F7B" w:rsidP="003F111D">
            <w:pPr>
              <w:pStyle w:val="ListParagraph"/>
              <w:widowControl/>
              <w:numPr>
                <w:ilvl w:val="0"/>
                <w:numId w:val="79"/>
              </w:numPr>
              <w:autoSpaceDE/>
              <w:autoSpaceDN/>
              <w:rPr>
                <w:rFonts w:eastAsia="Times New Roman"/>
                <w:color w:val="000000"/>
                <w:lang w:eastAsia="en-ZA"/>
              </w:rPr>
            </w:pPr>
            <w:r w:rsidRPr="00403DF5">
              <w:rPr>
                <w:rFonts w:eastAsia="Times New Roman"/>
                <w:color w:val="000000"/>
                <w:lang w:val="en-ZA" w:eastAsia="en-ZA"/>
              </w:rPr>
              <w:t xml:space="preserve">Prof Philip Haupt </w:t>
            </w:r>
          </w:p>
        </w:tc>
      </w:tr>
      <w:tr w:rsidR="001C4F7B" w:rsidRPr="006561FF" w14:paraId="153C2376" w14:textId="77777777" w:rsidTr="003F111D">
        <w:trPr>
          <w:trHeight w:val="290"/>
        </w:trPr>
        <w:tc>
          <w:tcPr>
            <w:tcW w:w="5736" w:type="dxa"/>
            <w:tcBorders>
              <w:top w:val="nil"/>
              <w:left w:val="nil"/>
              <w:bottom w:val="nil"/>
              <w:right w:val="nil"/>
            </w:tcBorders>
            <w:shd w:val="clear" w:color="auto" w:fill="auto"/>
            <w:noWrap/>
            <w:vAlign w:val="bottom"/>
            <w:hideMark/>
          </w:tcPr>
          <w:p w14:paraId="78CE1658" w14:textId="77777777" w:rsidR="001C4F7B" w:rsidRPr="00403DF5" w:rsidRDefault="001C4F7B" w:rsidP="003F111D">
            <w:pPr>
              <w:pStyle w:val="ListParagraph"/>
              <w:widowControl/>
              <w:numPr>
                <w:ilvl w:val="0"/>
                <w:numId w:val="79"/>
              </w:numPr>
              <w:autoSpaceDE/>
              <w:autoSpaceDN/>
              <w:rPr>
                <w:rFonts w:eastAsia="Times New Roman"/>
                <w:color w:val="000000"/>
                <w:lang w:eastAsia="en-ZA"/>
              </w:rPr>
            </w:pPr>
            <w:r w:rsidRPr="00403DF5">
              <w:rPr>
                <w:rFonts w:eastAsia="Times New Roman"/>
                <w:color w:val="000000"/>
                <w:lang w:val="en-ZA" w:eastAsia="en-ZA"/>
              </w:rPr>
              <w:t xml:space="preserve">Sydney Mtsweni </w:t>
            </w:r>
          </w:p>
        </w:tc>
      </w:tr>
    </w:tbl>
    <w:p w14:paraId="3DAAE3E0" w14:textId="357060CE" w:rsidR="00437288" w:rsidRPr="00403DF5" w:rsidRDefault="00437288" w:rsidP="00403DF5">
      <w:pPr>
        <w:tabs>
          <w:tab w:val="left" w:pos="1540"/>
        </w:tabs>
      </w:pPr>
    </w:p>
    <w:sectPr w:rsidR="00437288" w:rsidRPr="00403DF5" w:rsidSect="00A6170F">
      <w:pgSz w:w="12240" w:h="15840"/>
      <w:pgMar w:top="1500" w:right="1720" w:bottom="1080" w:left="1720" w:header="0" w:footer="8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4C4F9D" w14:textId="77777777" w:rsidR="001F2C56" w:rsidRPr="004C639D" w:rsidRDefault="001F2C56">
      <w:r w:rsidRPr="004C639D">
        <w:separator/>
      </w:r>
    </w:p>
  </w:endnote>
  <w:endnote w:type="continuationSeparator" w:id="0">
    <w:p w14:paraId="33F4E55B" w14:textId="77777777" w:rsidR="001F2C56" w:rsidRPr="004C639D" w:rsidRDefault="001F2C56">
      <w:r w:rsidRPr="004C639D">
        <w:continuationSeparator/>
      </w:r>
    </w:p>
  </w:endnote>
  <w:endnote w:type="continuationNotice" w:id="1">
    <w:p w14:paraId="5244E81E" w14:textId="77777777" w:rsidR="001F2C56" w:rsidRPr="004C639D" w:rsidRDefault="001F2C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4BD65" w14:textId="77777777" w:rsidR="00B712B1" w:rsidRDefault="00B712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3B391" w14:textId="289106B0" w:rsidR="00375F5E" w:rsidRPr="004C639D" w:rsidRDefault="009B74C3" w:rsidP="251BE3F0">
    <w:pPr>
      <w:pStyle w:val="BodyText"/>
      <w:spacing w:line="14" w:lineRule="auto"/>
      <w:rPr>
        <w:sz w:val="20"/>
        <w:szCs w:val="20"/>
        <w:lang w:val="en-ZA"/>
      </w:rPr>
    </w:pPr>
    <w:r w:rsidRPr="003F111D">
      <w:rPr>
        <w:noProof/>
        <w:lang w:val="en-ZA"/>
      </w:rPr>
      <mc:AlternateContent>
        <mc:Choice Requires="wps">
          <w:drawing>
            <wp:anchor distT="0" distB="0" distL="114300" distR="114300" simplePos="0" relativeHeight="251658240" behindDoc="1" locked="0" layoutInCell="1" allowOverlap="1" wp14:anchorId="29BF8442" wp14:editId="60BF5E49">
              <wp:simplePos x="0" y="0"/>
              <wp:positionH relativeFrom="page">
                <wp:posOffset>6411595</wp:posOffset>
              </wp:positionH>
              <wp:positionV relativeFrom="page">
                <wp:posOffset>9352915</wp:posOffset>
              </wp:positionV>
              <wp:extent cx="210820" cy="158115"/>
              <wp:effectExtent l="1270" t="0" r="0" b="4445"/>
              <wp:wrapNone/>
              <wp:docPr id="126243157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B7BD70" w14:textId="77777777" w:rsidR="00375F5E" w:rsidRPr="004C639D" w:rsidRDefault="005A7AE4">
                          <w:pPr>
                            <w:spacing w:before="20"/>
                            <w:ind w:left="60"/>
                            <w:rPr>
                              <w:sz w:val="18"/>
                            </w:rPr>
                          </w:pPr>
                          <w:r w:rsidRPr="004C639D">
                            <w:fldChar w:fldCharType="begin"/>
                          </w:r>
                          <w:r w:rsidRPr="004C639D">
                            <w:rPr>
                              <w:w w:val="105"/>
                              <w:sz w:val="18"/>
                            </w:rPr>
                            <w:instrText xml:space="preserve"> PAGE </w:instrText>
                          </w:r>
                          <w:r w:rsidRPr="004C639D">
                            <w:fldChar w:fldCharType="separate"/>
                          </w:r>
                          <w:r w:rsidRPr="004C639D">
                            <w:t>10</w:t>
                          </w:r>
                          <w:r w:rsidRPr="004C639D">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1DB3AF66">
            <v:shapetype id="_x0000_t202" coordsize="21600,21600" o:spt="202" path="m,l,21600r21600,l21600,xe" w14:anchorId="29BF8442">
              <v:stroke joinstyle="miter"/>
              <v:path gradientshapeok="t" o:connecttype="rect"/>
            </v:shapetype>
            <v:shape id="Text Box 4" style="position:absolute;margin-left:504.85pt;margin-top:736.45pt;width:16.6pt;height:1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">
              <v:textbox inset="0,0,0,0">
                <w:txbxContent>
                  <w:p w:rsidRPr="004C639D" w:rsidR="00375F5E" w:rsidRDefault="005A7AE4" w14:paraId="4718821A" w14:textId="77777777">
                    <w:pPr>
                      <w:spacing w:before="20"/>
                      <w:ind w:left="60"/>
                      <w:rPr>
                        <w:sz w:val="18"/>
                      </w:rPr>
                    </w:pPr>
                    <w:r w:rsidRPr="004C639D">
                      <w:fldChar w:fldCharType="begin"/>
                    </w:r>
                    <w:r w:rsidRPr="004C639D">
                      <w:rPr>
                        <w:w w:val="105"/>
                        <w:sz w:val="18"/>
                      </w:rPr>
                      <w:instrText xml:space="preserve"> PAGE </w:instrText>
                    </w:r>
                    <w:r w:rsidRPr="004C639D">
                      <w:fldChar w:fldCharType="separate"/>
                    </w:r>
                    <w:r w:rsidRPr="004C639D">
                      <w:t>10</w:t>
                    </w:r>
                    <w:r w:rsidRPr="004C639D">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2A973" w14:textId="77777777" w:rsidR="00B712B1" w:rsidRDefault="00B712B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A4F2E" w14:textId="45347043" w:rsidR="00375F5E" w:rsidRPr="004C639D" w:rsidRDefault="009B74C3" w:rsidP="251BE3F0">
    <w:pPr>
      <w:pStyle w:val="BodyText"/>
      <w:spacing w:line="14" w:lineRule="auto"/>
      <w:rPr>
        <w:sz w:val="20"/>
        <w:szCs w:val="20"/>
        <w:lang w:val="en-ZA"/>
      </w:rPr>
    </w:pPr>
    <w:r w:rsidRPr="003F111D">
      <w:rPr>
        <w:noProof/>
        <w:lang w:val="en-ZA"/>
      </w:rPr>
      <mc:AlternateContent>
        <mc:Choice Requires="wps">
          <w:drawing>
            <wp:anchor distT="0" distB="0" distL="114300" distR="114300" simplePos="0" relativeHeight="251658241" behindDoc="1" locked="0" layoutInCell="1" allowOverlap="1" wp14:anchorId="514E2345" wp14:editId="25E45F9A">
              <wp:simplePos x="0" y="0"/>
              <wp:positionH relativeFrom="page">
                <wp:posOffset>6411595</wp:posOffset>
              </wp:positionH>
              <wp:positionV relativeFrom="page">
                <wp:posOffset>9352915</wp:posOffset>
              </wp:positionV>
              <wp:extent cx="207645" cy="158115"/>
              <wp:effectExtent l="1270" t="0" r="635" b="4445"/>
              <wp:wrapNone/>
              <wp:docPr id="184277154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FF7AC" w14:textId="77777777" w:rsidR="00375F5E" w:rsidRPr="004C639D" w:rsidRDefault="005A7AE4">
                          <w:pPr>
                            <w:spacing w:before="20"/>
                            <w:ind w:left="60"/>
                            <w:rPr>
                              <w:sz w:val="18"/>
                            </w:rPr>
                          </w:pPr>
                          <w:r w:rsidRPr="004C639D">
                            <w:fldChar w:fldCharType="begin"/>
                          </w:r>
                          <w:r w:rsidRPr="004C639D">
                            <w:rPr>
                              <w:w w:val="105"/>
                              <w:sz w:val="18"/>
                            </w:rPr>
                            <w:instrText xml:space="preserve"> PAGE </w:instrText>
                          </w:r>
                          <w:r w:rsidRPr="004C639D">
                            <w:fldChar w:fldCharType="separate"/>
                          </w:r>
                          <w:r w:rsidRPr="004C639D">
                            <w:t>15</w:t>
                          </w:r>
                          <w:r w:rsidRPr="004C639D">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491385C7">
            <v:shapetype id="_x0000_t202" coordsize="21600,21600" o:spt="202" path="m,l,21600r21600,l21600,xe" w14:anchorId="514E2345">
              <v:stroke joinstyle="miter"/>
              <v:path gradientshapeok="t" o:connecttype="rect"/>
            </v:shapetype>
            <v:shape id="Text Box 1" style="position:absolute;margin-left:504.85pt;margin-top:736.45pt;width:16.35pt;height:12.4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">
              <v:textbox inset="0,0,0,0">
                <w:txbxContent>
                  <w:p w:rsidRPr="004C639D" w:rsidR="00375F5E" w:rsidRDefault="005A7AE4" w14:paraId="7A82B247" w14:textId="77777777">
                    <w:pPr>
                      <w:spacing w:before="20"/>
                      <w:ind w:left="60"/>
                      <w:rPr>
                        <w:sz w:val="18"/>
                      </w:rPr>
                    </w:pPr>
                    <w:r w:rsidRPr="004C639D">
                      <w:fldChar w:fldCharType="begin"/>
                    </w:r>
                    <w:r w:rsidRPr="004C639D">
                      <w:rPr>
                        <w:w w:val="105"/>
                        <w:sz w:val="18"/>
                      </w:rPr>
                      <w:instrText xml:space="preserve"> PAGE </w:instrText>
                    </w:r>
                    <w:r w:rsidRPr="004C639D">
                      <w:fldChar w:fldCharType="separate"/>
                    </w:r>
                    <w:r w:rsidRPr="004C639D">
                      <w:t>15</w:t>
                    </w:r>
                    <w:r w:rsidRPr="004C639D">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9CA23A" w14:textId="77777777" w:rsidR="001F2C56" w:rsidRPr="004C639D" w:rsidRDefault="001F2C56">
      <w:r w:rsidRPr="004C639D">
        <w:separator/>
      </w:r>
    </w:p>
  </w:footnote>
  <w:footnote w:type="continuationSeparator" w:id="0">
    <w:p w14:paraId="04F856AC" w14:textId="77777777" w:rsidR="001F2C56" w:rsidRPr="004C639D" w:rsidRDefault="001F2C56">
      <w:r w:rsidRPr="004C639D">
        <w:continuationSeparator/>
      </w:r>
    </w:p>
  </w:footnote>
  <w:footnote w:type="continuationNotice" w:id="1">
    <w:p w14:paraId="190DCDD9" w14:textId="77777777" w:rsidR="001F2C56" w:rsidRPr="004C639D" w:rsidRDefault="001F2C56"/>
  </w:footnote>
  <w:footnote w:id="2">
    <w:p w14:paraId="0E35B3CF" w14:textId="73F866D8" w:rsidR="00252D17" w:rsidRDefault="00252D17">
      <w:pPr>
        <w:pStyle w:val="FootnoteText"/>
      </w:pPr>
      <w:r>
        <w:rPr>
          <w:rStyle w:val="FootnoteReference"/>
        </w:rPr>
        <w:footnoteRef/>
      </w:r>
      <w:r>
        <w:t xml:space="preserve"> </w:t>
      </w:r>
      <w:r w:rsidR="00CA01AF">
        <w:rPr>
          <w:sz w:val="12"/>
          <w:szCs w:val="12"/>
        </w:rPr>
        <w:t>WESGRO (2021). South African Wine: Trends and Opportunities for Trade in Africa. https://www.wesgro.co.za/uploads/files/Research/SouthAfrican-Wine-Trends-and-Opportunities-in-Africa_Wesgro-IQ_20210518.pdf</w:t>
      </w:r>
    </w:p>
  </w:footnote>
  <w:footnote w:id="3">
    <w:p w14:paraId="5FE6C314" w14:textId="77777777" w:rsidR="00541075" w:rsidRDefault="00F10310" w:rsidP="00541075">
      <w:pPr>
        <w:pStyle w:val="FootnoteText"/>
        <w:rPr>
          <w:sz w:val="12"/>
          <w:szCs w:val="12"/>
        </w:rPr>
      </w:pPr>
      <w:r>
        <w:rPr>
          <w:rStyle w:val="FootnoteReference"/>
        </w:rPr>
        <w:footnoteRef/>
      </w:r>
      <w:r>
        <w:t xml:space="preserve"> </w:t>
      </w:r>
      <w:r w:rsidR="00541075">
        <w:rPr>
          <w:sz w:val="12"/>
          <w:szCs w:val="12"/>
        </w:rPr>
        <w:t>SAWIS (2021). SA Wine Industry 2021 Statistics Nr 46. Accessible at https://www.sawis.co.za/info/download/Book_2021.pdf</w:t>
      </w:r>
    </w:p>
    <w:p w14:paraId="453796AC" w14:textId="32D6AE3C" w:rsidR="00F10310" w:rsidRDefault="00F10310">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4C118" w14:textId="25F6604C" w:rsidR="00B712B1" w:rsidRDefault="00B712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FF68E" w14:textId="77D91C65" w:rsidR="00B712B1" w:rsidRDefault="00B712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E9718" w14:textId="32F617A8" w:rsidR="00B712B1" w:rsidRDefault="00B712B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F0A15" w14:textId="69FDC8B2" w:rsidR="00B712B1" w:rsidRDefault="00B712B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217B3" w14:textId="48094402" w:rsidR="00B712B1" w:rsidRDefault="00B712B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175FC" w14:textId="5F235842" w:rsidR="00B712B1" w:rsidRDefault="00B712B1">
    <w:pPr>
      <w:pStyle w:val="Header"/>
    </w:pPr>
  </w:p>
</w:hdr>
</file>

<file path=word/intelligence2.xml><?xml version="1.0" encoding="utf-8"?>
<int2:intelligence xmlns:int2="http://schemas.microsoft.com/office/intelligence/2020/intelligence" xmlns:oel="http://schemas.microsoft.com/office/2019/extlst">
  <int2:observations>
    <int2:textHash int2:hashCode="SlYFDncvjWIs3o" int2:id="QLYE0due">
      <int2:state int2:value="Rejected" int2:type="AugLoop_Text_Critique"/>
    </int2:textHash>
    <int2:textHash int2:hashCode="0/J6ChvgrUOgnb" int2:id="p5TI3txz">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EBCB7"/>
    <w:multiLevelType w:val="hybridMultilevel"/>
    <w:tmpl w:val="C8304BD8"/>
    <w:lvl w:ilvl="0" w:tplc="1A00FA3A">
      <w:numFmt w:val="none"/>
      <w:lvlText w:val=""/>
      <w:lvlJc w:val="left"/>
      <w:pPr>
        <w:tabs>
          <w:tab w:val="num" w:pos="360"/>
        </w:tabs>
      </w:pPr>
    </w:lvl>
    <w:lvl w:ilvl="1" w:tplc="2F8213F6">
      <w:start w:val="1"/>
      <w:numFmt w:val="lowerLetter"/>
      <w:lvlText w:val="%2."/>
      <w:lvlJc w:val="left"/>
      <w:pPr>
        <w:ind w:left="1800" w:hanging="360"/>
      </w:pPr>
    </w:lvl>
    <w:lvl w:ilvl="2" w:tplc="244E4EEE">
      <w:start w:val="1"/>
      <w:numFmt w:val="lowerRoman"/>
      <w:lvlText w:val="%3."/>
      <w:lvlJc w:val="right"/>
      <w:pPr>
        <w:ind w:left="2520" w:hanging="180"/>
      </w:pPr>
    </w:lvl>
    <w:lvl w:ilvl="3" w:tplc="8D6AB302">
      <w:start w:val="1"/>
      <w:numFmt w:val="decimal"/>
      <w:lvlText w:val="%4."/>
      <w:lvlJc w:val="left"/>
      <w:pPr>
        <w:ind w:left="3240" w:hanging="360"/>
      </w:pPr>
    </w:lvl>
    <w:lvl w:ilvl="4" w:tplc="F5C05904">
      <w:start w:val="1"/>
      <w:numFmt w:val="lowerLetter"/>
      <w:lvlText w:val="%5."/>
      <w:lvlJc w:val="left"/>
      <w:pPr>
        <w:ind w:left="3960" w:hanging="360"/>
      </w:pPr>
    </w:lvl>
    <w:lvl w:ilvl="5" w:tplc="859E6384">
      <w:start w:val="1"/>
      <w:numFmt w:val="lowerRoman"/>
      <w:lvlText w:val="%6."/>
      <w:lvlJc w:val="right"/>
      <w:pPr>
        <w:ind w:left="4680" w:hanging="180"/>
      </w:pPr>
    </w:lvl>
    <w:lvl w:ilvl="6" w:tplc="44CA61AE">
      <w:start w:val="1"/>
      <w:numFmt w:val="decimal"/>
      <w:lvlText w:val="%7."/>
      <w:lvlJc w:val="left"/>
      <w:pPr>
        <w:ind w:left="5400" w:hanging="360"/>
      </w:pPr>
    </w:lvl>
    <w:lvl w:ilvl="7" w:tplc="D124D78C">
      <w:start w:val="1"/>
      <w:numFmt w:val="lowerLetter"/>
      <w:lvlText w:val="%8."/>
      <w:lvlJc w:val="left"/>
      <w:pPr>
        <w:ind w:left="6120" w:hanging="360"/>
      </w:pPr>
    </w:lvl>
    <w:lvl w:ilvl="8" w:tplc="983CAFD6">
      <w:start w:val="1"/>
      <w:numFmt w:val="lowerRoman"/>
      <w:lvlText w:val="%9."/>
      <w:lvlJc w:val="right"/>
      <w:pPr>
        <w:ind w:left="6840" w:hanging="180"/>
      </w:pPr>
    </w:lvl>
  </w:abstractNum>
  <w:abstractNum w:abstractNumId="1" w15:restartNumberingAfterBreak="0">
    <w:nsid w:val="023DB39A"/>
    <w:multiLevelType w:val="hybridMultilevel"/>
    <w:tmpl w:val="62A27CC6"/>
    <w:lvl w:ilvl="0" w:tplc="2126FD24">
      <w:start w:val="1"/>
      <w:numFmt w:val="bullet"/>
      <w:lvlText w:val=""/>
      <w:lvlJc w:val="left"/>
      <w:pPr>
        <w:ind w:left="720" w:hanging="360"/>
      </w:pPr>
      <w:rPr>
        <w:rFonts w:ascii="Symbol" w:hAnsi="Symbol" w:hint="default"/>
      </w:rPr>
    </w:lvl>
    <w:lvl w:ilvl="1" w:tplc="E47A9828">
      <w:start w:val="1"/>
      <w:numFmt w:val="bullet"/>
      <w:lvlText w:val="o"/>
      <w:lvlJc w:val="left"/>
      <w:pPr>
        <w:ind w:left="1440" w:hanging="360"/>
      </w:pPr>
      <w:rPr>
        <w:rFonts w:ascii="Courier New" w:hAnsi="Courier New" w:hint="default"/>
      </w:rPr>
    </w:lvl>
    <w:lvl w:ilvl="2" w:tplc="E3A4C33A">
      <w:start w:val="1"/>
      <w:numFmt w:val="bullet"/>
      <w:lvlText w:val=""/>
      <w:lvlJc w:val="left"/>
      <w:pPr>
        <w:ind w:left="2160" w:hanging="360"/>
      </w:pPr>
      <w:rPr>
        <w:rFonts w:ascii="Wingdings" w:hAnsi="Wingdings" w:hint="default"/>
      </w:rPr>
    </w:lvl>
    <w:lvl w:ilvl="3" w:tplc="11C04D68">
      <w:start w:val="1"/>
      <w:numFmt w:val="bullet"/>
      <w:lvlText w:val=""/>
      <w:lvlJc w:val="left"/>
      <w:pPr>
        <w:ind w:left="2880" w:hanging="360"/>
      </w:pPr>
      <w:rPr>
        <w:rFonts w:ascii="Symbol" w:hAnsi="Symbol" w:hint="default"/>
      </w:rPr>
    </w:lvl>
    <w:lvl w:ilvl="4" w:tplc="18B407BA">
      <w:start w:val="1"/>
      <w:numFmt w:val="bullet"/>
      <w:lvlText w:val="o"/>
      <w:lvlJc w:val="left"/>
      <w:pPr>
        <w:ind w:left="3600" w:hanging="360"/>
      </w:pPr>
      <w:rPr>
        <w:rFonts w:ascii="Courier New" w:hAnsi="Courier New" w:hint="default"/>
      </w:rPr>
    </w:lvl>
    <w:lvl w:ilvl="5" w:tplc="C1F66C7A">
      <w:start w:val="1"/>
      <w:numFmt w:val="bullet"/>
      <w:lvlText w:val=""/>
      <w:lvlJc w:val="left"/>
      <w:pPr>
        <w:ind w:left="4320" w:hanging="360"/>
      </w:pPr>
      <w:rPr>
        <w:rFonts w:ascii="Wingdings" w:hAnsi="Wingdings" w:hint="default"/>
      </w:rPr>
    </w:lvl>
    <w:lvl w:ilvl="6" w:tplc="1DEADA0E">
      <w:start w:val="1"/>
      <w:numFmt w:val="bullet"/>
      <w:lvlText w:val=""/>
      <w:lvlJc w:val="left"/>
      <w:pPr>
        <w:ind w:left="5040" w:hanging="360"/>
      </w:pPr>
      <w:rPr>
        <w:rFonts w:ascii="Symbol" w:hAnsi="Symbol" w:hint="default"/>
      </w:rPr>
    </w:lvl>
    <w:lvl w:ilvl="7" w:tplc="D4B4A032">
      <w:start w:val="1"/>
      <w:numFmt w:val="bullet"/>
      <w:lvlText w:val="o"/>
      <w:lvlJc w:val="left"/>
      <w:pPr>
        <w:ind w:left="5760" w:hanging="360"/>
      </w:pPr>
      <w:rPr>
        <w:rFonts w:ascii="Courier New" w:hAnsi="Courier New" w:hint="default"/>
      </w:rPr>
    </w:lvl>
    <w:lvl w:ilvl="8" w:tplc="364C5710">
      <w:start w:val="1"/>
      <w:numFmt w:val="bullet"/>
      <w:lvlText w:val=""/>
      <w:lvlJc w:val="left"/>
      <w:pPr>
        <w:ind w:left="6480" w:hanging="360"/>
      </w:pPr>
      <w:rPr>
        <w:rFonts w:ascii="Wingdings" w:hAnsi="Wingdings" w:hint="default"/>
      </w:rPr>
    </w:lvl>
  </w:abstractNum>
  <w:abstractNum w:abstractNumId="2" w15:restartNumberingAfterBreak="0">
    <w:nsid w:val="02482567"/>
    <w:multiLevelType w:val="multilevel"/>
    <w:tmpl w:val="51AC87BE"/>
    <w:lvl w:ilvl="0">
      <w:start w:val="1"/>
      <w:numFmt w:val="decimal"/>
      <w:lvlText w:val="%1."/>
      <w:lvlJc w:val="left"/>
      <w:pPr>
        <w:ind w:left="579" w:hanging="339"/>
      </w:pPr>
      <w:rPr>
        <w:rFonts w:ascii="Arial" w:hAnsi="Arial" w:hint="default"/>
        <w:b/>
        <w:bCs/>
        <w:spacing w:val="-2"/>
        <w:w w:val="99"/>
        <w:sz w:val="21"/>
        <w:szCs w:val="21"/>
        <w:lang w:val="en-US" w:eastAsia="en-US" w:bidi="ar-SA"/>
      </w:rPr>
    </w:lvl>
    <w:lvl w:ilvl="1">
      <w:start w:val="1"/>
      <w:numFmt w:val="decimal"/>
      <w:lvlText w:val="%1.%2."/>
      <w:lvlJc w:val="left"/>
      <w:pPr>
        <w:ind w:left="960" w:hanging="406"/>
      </w:pPr>
      <w:rPr>
        <w:rFonts w:ascii="Arial" w:hAnsi="Arial" w:hint="default"/>
        <w:b/>
        <w:bCs/>
        <w:spacing w:val="-2"/>
        <w:w w:val="99"/>
        <w:sz w:val="21"/>
        <w:szCs w:val="21"/>
        <w:lang w:val="en-US" w:eastAsia="en-US" w:bidi="ar-SA"/>
      </w:rPr>
    </w:lvl>
    <w:lvl w:ilvl="2">
      <w:numFmt w:val="bullet"/>
      <w:lvlText w:val="•"/>
      <w:lvlJc w:val="left"/>
      <w:pPr>
        <w:ind w:left="1880" w:hanging="406"/>
      </w:pPr>
      <w:rPr>
        <w:rFonts w:hint="default"/>
        <w:lang w:val="en-US" w:eastAsia="en-US" w:bidi="ar-SA"/>
      </w:rPr>
    </w:lvl>
    <w:lvl w:ilvl="3">
      <w:numFmt w:val="bullet"/>
      <w:lvlText w:val="•"/>
      <w:lvlJc w:val="left"/>
      <w:pPr>
        <w:ind w:left="2745" w:hanging="406"/>
      </w:pPr>
      <w:rPr>
        <w:rFonts w:hint="default"/>
        <w:lang w:val="en-US" w:eastAsia="en-US" w:bidi="ar-SA"/>
      </w:rPr>
    </w:lvl>
    <w:lvl w:ilvl="4">
      <w:numFmt w:val="bullet"/>
      <w:lvlText w:val="•"/>
      <w:lvlJc w:val="left"/>
      <w:pPr>
        <w:ind w:left="3610" w:hanging="406"/>
      </w:pPr>
      <w:rPr>
        <w:rFonts w:hint="default"/>
        <w:lang w:val="en-US" w:eastAsia="en-US" w:bidi="ar-SA"/>
      </w:rPr>
    </w:lvl>
    <w:lvl w:ilvl="5">
      <w:numFmt w:val="bullet"/>
      <w:lvlText w:val="•"/>
      <w:lvlJc w:val="left"/>
      <w:pPr>
        <w:ind w:left="4475" w:hanging="406"/>
      </w:pPr>
      <w:rPr>
        <w:rFonts w:hint="default"/>
        <w:lang w:val="en-US" w:eastAsia="en-US" w:bidi="ar-SA"/>
      </w:rPr>
    </w:lvl>
    <w:lvl w:ilvl="6">
      <w:numFmt w:val="bullet"/>
      <w:lvlText w:val="•"/>
      <w:lvlJc w:val="left"/>
      <w:pPr>
        <w:ind w:left="5340" w:hanging="406"/>
      </w:pPr>
      <w:rPr>
        <w:rFonts w:hint="default"/>
        <w:lang w:val="en-US" w:eastAsia="en-US" w:bidi="ar-SA"/>
      </w:rPr>
    </w:lvl>
    <w:lvl w:ilvl="7">
      <w:numFmt w:val="bullet"/>
      <w:lvlText w:val="•"/>
      <w:lvlJc w:val="left"/>
      <w:pPr>
        <w:ind w:left="6205" w:hanging="406"/>
      </w:pPr>
      <w:rPr>
        <w:rFonts w:hint="default"/>
        <w:lang w:val="en-US" w:eastAsia="en-US" w:bidi="ar-SA"/>
      </w:rPr>
    </w:lvl>
    <w:lvl w:ilvl="8">
      <w:numFmt w:val="bullet"/>
      <w:lvlText w:val="•"/>
      <w:lvlJc w:val="left"/>
      <w:pPr>
        <w:ind w:left="7070" w:hanging="406"/>
      </w:pPr>
      <w:rPr>
        <w:rFonts w:hint="default"/>
        <w:lang w:val="en-US" w:eastAsia="en-US" w:bidi="ar-SA"/>
      </w:rPr>
    </w:lvl>
  </w:abstractNum>
  <w:abstractNum w:abstractNumId="3" w15:restartNumberingAfterBreak="0">
    <w:nsid w:val="02D721FE"/>
    <w:multiLevelType w:val="hybridMultilevel"/>
    <w:tmpl w:val="A86843BA"/>
    <w:lvl w:ilvl="0" w:tplc="1C090001">
      <w:start w:val="1"/>
      <w:numFmt w:val="bullet"/>
      <w:lvlText w:val=""/>
      <w:lvlJc w:val="left"/>
      <w:pPr>
        <w:ind w:left="1212" w:hanging="360"/>
      </w:pPr>
      <w:rPr>
        <w:rFonts w:ascii="Symbol" w:hAnsi="Symbol" w:hint="default"/>
      </w:rPr>
    </w:lvl>
    <w:lvl w:ilvl="1" w:tplc="1C090003" w:tentative="1">
      <w:start w:val="1"/>
      <w:numFmt w:val="bullet"/>
      <w:lvlText w:val="o"/>
      <w:lvlJc w:val="left"/>
      <w:pPr>
        <w:ind w:left="1932" w:hanging="360"/>
      </w:pPr>
      <w:rPr>
        <w:rFonts w:ascii="Courier New" w:hAnsi="Courier New" w:cs="Courier New" w:hint="default"/>
      </w:rPr>
    </w:lvl>
    <w:lvl w:ilvl="2" w:tplc="1C090005" w:tentative="1">
      <w:start w:val="1"/>
      <w:numFmt w:val="bullet"/>
      <w:lvlText w:val=""/>
      <w:lvlJc w:val="left"/>
      <w:pPr>
        <w:ind w:left="2652" w:hanging="360"/>
      </w:pPr>
      <w:rPr>
        <w:rFonts w:ascii="Wingdings" w:hAnsi="Wingdings" w:hint="default"/>
      </w:rPr>
    </w:lvl>
    <w:lvl w:ilvl="3" w:tplc="1C090001" w:tentative="1">
      <w:start w:val="1"/>
      <w:numFmt w:val="bullet"/>
      <w:lvlText w:val=""/>
      <w:lvlJc w:val="left"/>
      <w:pPr>
        <w:ind w:left="3372" w:hanging="360"/>
      </w:pPr>
      <w:rPr>
        <w:rFonts w:ascii="Symbol" w:hAnsi="Symbol" w:hint="default"/>
      </w:rPr>
    </w:lvl>
    <w:lvl w:ilvl="4" w:tplc="1C090003" w:tentative="1">
      <w:start w:val="1"/>
      <w:numFmt w:val="bullet"/>
      <w:lvlText w:val="o"/>
      <w:lvlJc w:val="left"/>
      <w:pPr>
        <w:ind w:left="4092" w:hanging="360"/>
      </w:pPr>
      <w:rPr>
        <w:rFonts w:ascii="Courier New" w:hAnsi="Courier New" w:cs="Courier New" w:hint="default"/>
      </w:rPr>
    </w:lvl>
    <w:lvl w:ilvl="5" w:tplc="1C090005" w:tentative="1">
      <w:start w:val="1"/>
      <w:numFmt w:val="bullet"/>
      <w:lvlText w:val=""/>
      <w:lvlJc w:val="left"/>
      <w:pPr>
        <w:ind w:left="4812" w:hanging="360"/>
      </w:pPr>
      <w:rPr>
        <w:rFonts w:ascii="Wingdings" w:hAnsi="Wingdings" w:hint="default"/>
      </w:rPr>
    </w:lvl>
    <w:lvl w:ilvl="6" w:tplc="1C090001" w:tentative="1">
      <w:start w:val="1"/>
      <w:numFmt w:val="bullet"/>
      <w:lvlText w:val=""/>
      <w:lvlJc w:val="left"/>
      <w:pPr>
        <w:ind w:left="5532" w:hanging="360"/>
      </w:pPr>
      <w:rPr>
        <w:rFonts w:ascii="Symbol" w:hAnsi="Symbol" w:hint="default"/>
      </w:rPr>
    </w:lvl>
    <w:lvl w:ilvl="7" w:tplc="1C090003" w:tentative="1">
      <w:start w:val="1"/>
      <w:numFmt w:val="bullet"/>
      <w:lvlText w:val="o"/>
      <w:lvlJc w:val="left"/>
      <w:pPr>
        <w:ind w:left="6252" w:hanging="360"/>
      </w:pPr>
      <w:rPr>
        <w:rFonts w:ascii="Courier New" w:hAnsi="Courier New" w:cs="Courier New" w:hint="default"/>
      </w:rPr>
    </w:lvl>
    <w:lvl w:ilvl="8" w:tplc="1C090005" w:tentative="1">
      <w:start w:val="1"/>
      <w:numFmt w:val="bullet"/>
      <w:lvlText w:val=""/>
      <w:lvlJc w:val="left"/>
      <w:pPr>
        <w:ind w:left="6972" w:hanging="360"/>
      </w:pPr>
      <w:rPr>
        <w:rFonts w:ascii="Wingdings" w:hAnsi="Wingdings" w:hint="default"/>
      </w:rPr>
    </w:lvl>
  </w:abstractNum>
  <w:abstractNum w:abstractNumId="4" w15:restartNumberingAfterBreak="0">
    <w:nsid w:val="087D38C5"/>
    <w:multiLevelType w:val="hybridMultilevel"/>
    <w:tmpl w:val="BF76ACF8"/>
    <w:lvl w:ilvl="0" w:tplc="332CA0F0">
      <w:numFmt w:val="none"/>
      <w:lvlText w:val=""/>
      <w:lvlJc w:val="left"/>
      <w:pPr>
        <w:tabs>
          <w:tab w:val="num" w:pos="360"/>
        </w:tabs>
      </w:pPr>
    </w:lvl>
    <w:lvl w:ilvl="1" w:tplc="9BF8F490">
      <w:start w:val="1"/>
      <w:numFmt w:val="lowerLetter"/>
      <w:lvlText w:val="%2."/>
      <w:lvlJc w:val="left"/>
      <w:pPr>
        <w:ind w:left="1572" w:hanging="360"/>
      </w:pPr>
    </w:lvl>
    <w:lvl w:ilvl="2" w:tplc="025CED18">
      <w:start w:val="1"/>
      <w:numFmt w:val="lowerRoman"/>
      <w:lvlText w:val="%3."/>
      <w:lvlJc w:val="right"/>
      <w:pPr>
        <w:ind w:left="2292" w:hanging="180"/>
      </w:pPr>
    </w:lvl>
    <w:lvl w:ilvl="3" w:tplc="539AB590">
      <w:start w:val="1"/>
      <w:numFmt w:val="decimal"/>
      <w:lvlText w:val="%4."/>
      <w:lvlJc w:val="left"/>
      <w:pPr>
        <w:ind w:left="3012" w:hanging="360"/>
      </w:pPr>
    </w:lvl>
    <w:lvl w:ilvl="4" w:tplc="D13C98D2">
      <w:start w:val="1"/>
      <w:numFmt w:val="lowerLetter"/>
      <w:lvlText w:val="%5."/>
      <w:lvlJc w:val="left"/>
      <w:pPr>
        <w:ind w:left="3732" w:hanging="360"/>
      </w:pPr>
    </w:lvl>
    <w:lvl w:ilvl="5" w:tplc="254C2AE6">
      <w:start w:val="1"/>
      <w:numFmt w:val="lowerRoman"/>
      <w:lvlText w:val="%6."/>
      <w:lvlJc w:val="right"/>
      <w:pPr>
        <w:ind w:left="4452" w:hanging="180"/>
      </w:pPr>
    </w:lvl>
    <w:lvl w:ilvl="6" w:tplc="402AF722">
      <w:start w:val="1"/>
      <w:numFmt w:val="decimal"/>
      <w:lvlText w:val="%7."/>
      <w:lvlJc w:val="left"/>
      <w:pPr>
        <w:ind w:left="5172" w:hanging="360"/>
      </w:pPr>
    </w:lvl>
    <w:lvl w:ilvl="7" w:tplc="87C0799C">
      <w:start w:val="1"/>
      <w:numFmt w:val="lowerLetter"/>
      <w:lvlText w:val="%8."/>
      <w:lvlJc w:val="left"/>
      <w:pPr>
        <w:ind w:left="5892" w:hanging="360"/>
      </w:pPr>
    </w:lvl>
    <w:lvl w:ilvl="8" w:tplc="D5E08C40">
      <w:start w:val="1"/>
      <w:numFmt w:val="lowerRoman"/>
      <w:lvlText w:val="%9."/>
      <w:lvlJc w:val="right"/>
      <w:pPr>
        <w:ind w:left="6612" w:hanging="180"/>
      </w:pPr>
    </w:lvl>
  </w:abstractNum>
  <w:abstractNum w:abstractNumId="5" w15:restartNumberingAfterBreak="0">
    <w:nsid w:val="0A633C78"/>
    <w:multiLevelType w:val="hybridMultilevel"/>
    <w:tmpl w:val="F9D2A368"/>
    <w:lvl w:ilvl="0" w:tplc="63F87F14">
      <w:start w:val="1"/>
      <w:numFmt w:val="decimal"/>
      <w:lvlText w:val="%1."/>
      <w:lvlJc w:val="left"/>
      <w:pPr>
        <w:ind w:left="832" w:hanging="340"/>
      </w:pPr>
      <w:rPr>
        <w:rFonts w:ascii="Arial" w:eastAsia="Arial" w:hAnsi="Arial" w:cs="Arial" w:hint="default"/>
        <w:b/>
        <w:bCs/>
        <w:spacing w:val="-2"/>
        <w:w w:val="99"/>
        <w:sz w:val="21"/>
        <w:szCs w:val="21"/>
        <w:lang w:val="en-US" w:eastAsia="en-US" w:bidi="ar-SA"/>
      </w:rPr>
    </w:lvl>
    <w:lvl w:ilvl="1" w:tplc="806642C2">
      <w:numFmt w:val="bullet"/>
      <w:lvlText w:val="•"/>
      <w:lvlJc w:val="left"/>
      <w:pPr>
        <w:ind w:left="1636" w:hanging="340"/>
      </w:pPr>
      <w:rPr>
        <w:rFonts w:hint="default"/>
        <w:lang w:val="en-US" w:eastAsia="en-US" w:bidi="ar-SA"/>
      </w:rPr>
    </w:lvl>
    <w:lvl w:ilvl="2" w:tplc="70001A28">
      <w:numFmt w:val="bullet"/>
      <w:lvlText w:val="•"/>
      <w:lvlJc w:val="left"/>
      <w:pPr>
        <w:ind w:left="2432" w:hanging="340"/>
      </w:pPr>
      <w:rPr>
        <w:rFonts w:hint="default"/>
        <w:lang w:val="en-US" w:eastAsia="en-US" w:bidi="ar-SA"/>
      </w:rPr>
    </w:lvl>
    <w:lvl w:ilvl="3" w:tplc="E08E210C">
      <w:numFmt w:val="bullet"/>
      <w:lvlText w:val="•"/>
      <w:lvlJc w:val="left"/>
      <w:pPr>
        <w:ind w:left="3228" w:hanging="340"/>
      </w:pPr>
      <w:rPr>
        <w:rFonts w:hint="default"/>
        <w:lang w:val="en-US" w:eastAsia="en-US" w:bidi="ar-SA"/>
      </w:rPr>
    </w:lvl>
    <w:lvl w:ilvl="4" w:tplc="2B0E25E4">
      <w:numFmt w:val="bullet"/>
      <w:lvlText w:val="•"/>
      <w:lvlJc w:val="left"/>
      <w:pPr>
        <w:ind w:left="4024" w:hanging="340"/>
      </w:pPr>
      <w:rPr>
        <w:rFonts w:hint="default"/>
        <w:lang w:val="en-US" w:eastAsia="en-US" w:bidi="ar-SA"/>
      </w:rPr>
    </w:lvl>
    <w:lvl w:ilvl="5" w:tplc="0FC0BB9A">
      <w:numFmt w:val="bullet"/>
      <w:lvlText w:val="•"/>
      <w:lvlJc w:val="left"/>
      <w:pPr>
        <w:ind w:left="4820" w:hanging="340"/>
      </w:pPr>
      <w:rPr>
        <w:rFonts w:hint="default"/>
        <w:lang w:val="en-US" w:eastAsia="en-US" w:bidi="ar-SA"/>
      </w:rPr>
    </w:lvl>
    <w:lvl w:ilvl="6" w:tplc="9F7CDB46">
      <w:numFmt w:val="bullet"/>
      <w:lvlText w:val="•"/>
      <w:lvlJc w:val="left"/>
      <w:pPr>
        <w:ind w:left="5616" w:hanging="340"/>
      </w:pPr>
      <w:rPr>
        <w:rFonts w:hint="default"/>
        <w:lang w:val="en-US" w:eastAsia="en-US" w:bidi="ar-SA"/>
      </w:rPr>
    </w:lvl>
    <w:lvl w:ilvl="7" w:tplc="BF5CCE3A">
      <w:numFmt w:val="bullet"/>
      <w:lvlText w:val="•"/>
      <w:lvlJc w:val="left"/>
      <w:pPr>
        <w:ind w:left="6412" w:hanging="340"/>
      </w:pPr>
      <w:rPr>
        <w:rFonts w:hint="default"/>
        <w:lang w:val="en-US" w:eastAsia="en-US" w:bidi="ar-SA"/>
      </w:rPr>
    </w:lvl>
    <w:lvl w:ilvl="8" w:tplc="08E6C2C0">
      <w:numFmt w:val="bullet"/>
      <w:lvlText w:val="•"/>
      <w:lvlJc w:val="left"/>
      <w:pPr>
        <w:ind w:left="7208" w:hanging="340"/>
      </w:pPr>
      <w:rPr>
        <w:rFonts w:hint="default"/>
        <w:lang w:val="en-US" w:eastAsia="en-US" w:bidi="ar-SA"/>
      </w:rPr>
    </w:lvl>
  </w:abstractNum>
  <w:abstractNum w:abstractNumId="6" w15:restartNumberingAfterBreak="0">
    <w:nsid w:val="0A8C5635"/>
    <w:multiLevelType w:val="hybridMultilevel"/>
    <w:tmpl w:val="F65CE168"/>
    <w:lvl w:ilvl="0" w:tplc="E834D458">
      <w:start w:val="1"/>
      <w:numFmt w:val="bullet"/>
      <w:lvlText w:val="•"/>
      <w:lvlJc w:val="left"/>
      <w:pPr>
        <w:tabs>
          <w:tab w:val="num" w:pos="720"/>
        </w:tabs>
        <w:ind w:left="720" w:hanging="360"/>
      </w:pPr>
      <w:rPr>
        <w:rFonts w:ascii="Arial" w:hAnsi="Arial" w:hint="default"/>
      </w:rPr>
    </w:lvl>
    <w:lvl w:ilvl="1" w:tplc="E5884F52" w:tentative="1">
      <w:start w:val="1"/>
      <w:numFmt w:val="bullet"/>
      <w:lvlText w:val="•"/>
      <w:lvlJc w:val="left"/>
      <w:pPr>
        <w:tabs>
          <w:tab w:val="num" w:pos="1440"/>
        </w:tabs>
        <w:ind w:left="1440" w:hanging="360"/>
      </w:pPr>
      <w:rPr>
        <w:rFonts w:ascii="Arial" w:hAnsi="Arial" w:hint="default"/>
      </w:rPr>
    </w:lvl>
    <w:lvl w:ilvl="2" w:tplc="66C2BA08">
      <w:start w:val="1"/>
      <w:numFmt w:val="bullet"/>
      <w:lvlText w:val="•"/>
      <w:lvlJc w:val="left"/>
      <w:pPr>
        <w:tabs>
          <w:tab w:val="num" w:pos="2160"/>
        </w:tabs>
        <w:ind w:left="2160" w:hanging="360"/>
      </w:pPr>
      <w:rPr>
        <w:rFonts w:ascii="Arial" w:hAnsi="Arial" w:hint="default"/>
      </w:rPr>
    </w:lvl>
    <w:lvl w:ilvl="3" w:tplc="4728545C" w:tentative="1">
      <w:start w:val="1"/>
      <w:numFmt w:val="bullet"/>
      <w:lvlText w:val="•"/>
      <w:lvlJc w:val="left"/>
      <w:pPr>
        <w:tabs>
          <w:tab w:val="num" w:pos="2880"/>
        </w:tabs>
        <w:ind w:left="2880" w:hanging="360"/>
      </w:pPr>
      <w:rPr>
        <w:rFonts w:ascii="Arial" w:hAnsi="Arial" w:hint="default"/>
      </w:rPr>
    </w:lvl>
    <w:lvl w:ilvl="4" w:tplc="B7BAD546" w:tentative="1">
      <w:start w:val="1"/>
      <w:numFmt w:val="bullet"/>
      <w:lvlText w:val="•"/>
      <w:lvlJc w:val="left"/>
      <w:pPr>
        <w:tabs>
          <w:tab w:val="num" w:pos="3600"/>
        </w:tabs>
        <w:ind w:left="3600" w:hanging="360"/>
      </w:pPr>
      <w:rPr>
        <w:rFonts w:ascii="Arial" w:hAnsi="Arial" w:hint="default"/>
      </w:rPr>
    </w:lvl>
    <w:lvl w:ilvl="5" w:tplc="5EDC821E" w:tentative="1">
      <w:start w:val="1"/>
      <w:numFmt w:val="bullet"/>
      <w:lvlText w:val="•"/>
      <w:lvlJc w:val="left"/>
      <w:pPr>
        <w:tabs>
          <w:tab w:val="num" w:pos="4320"/>
        </w:tabs>
        <w:ind w:left="4320" w:hanging="360"/>
      </w:pPr>
      <w:rPr>
        <w:rFonts w:ascii="Arial" w:hAnsi="Arial" w:hint="default"/>
      </w:rPr>
    </w:lvl>
    <w:lvl w:ilvl="6" w:tplc="4B8EE59A" w:tentative="1">
      <w:start w:val="1"/>
      <w:numFmt w:val="bullet"/>
      <w:lvlText w:val="•"/>
      <w:lvlJc w:val="left"/>
      <w:pPr>
        <w:tabs>
          <w:tab w:val="num" w:pos="5040"/>
        </w:tabs>
        <w:ind w:left="5040" w:hanging="360"/>
      </w:pPr>
      <w:rPr>
        <w:rFonts w:ascii="Arial" w:hAnsi="Arial" w:hint="default"/>
      </w:rPr>
    </w:lvl>
    <w:lvl w:ilvl="7" w:tplc="E0C214EC" w:tentative="1">
      <w:start w:val="1"/>
      <w:numFmt w:val="bullet"/>
      <w:lvlText w:val="•"/>
      <w:lvlJc w:val="left"/>
      <w:pPr>
        <w:tabs>
          <w:tab w:val="num" w:pos="5760"/>
        </w:tabs>
        <w:ind w:left="5760" w:hanging="360"/>
      </w:pPr>
      <w:rPr>
        <w:rFonts w:ascii="Arial" w:hAnsi="Arial" w:hint="default"/>
      </w:rPr>
    </w:lvl>
    <w:lvl w:ilvl="8" w:tplc="0CFEA74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F248C22"/>
    <w:multiLevelType w:val="hybridMultilevel"/>
    <w:tmpl w:val="2F44CAB6"/>
    <w:lvl w:ilvl="0" w:tplc="2FB81ED6">
      <w:numFmt w:val="none"/>
      <w:lvlText w:val=""/>
      <w:lvlJc w:val="left"/>
      <w:pPr>
        <w:tabs>
          <w:tab w:val="num" w:pos="360"/>
        </w:tabs>
      </w:pPr>
    </w:lvl>
    <w:lvl w:ilvl="1" w:tplc="5FB4ED80">
      <w:start w:val="1"/>
      <w:numFmt w:val="lowerLetter"/>
      <w:lvlText w:val="%2."/>
      <w:lvlJc w:val="left"/>
      <w:pPr>
        <w:ind w:left="1800" w:hanging="360"/>
      </w:pPr>
    </w:lvl>
    <w:lvl w:ilvl="2" w:tplc="0C28DA88">
      <w:start w:val="1"/>
      <w:numFmt w:val="lowerRoman"/>
      <w:lvlText w:val="%3."/>
      <w:lvlJc w:val="right"/>
      <w:pPr>
        <w:ind w:left="2520" w:hanging="180"/>
      </w:pPr>
    </w:lvl>
    <w:lvl w:ilvl="3" w:tplc="304405B8">
      <w:start w:val="1"/>
      <w:numFmt w:val="decimal"/>
      <w:lvlText w:val="%4."/>
      <w:lvlJc w:val="left"/>
      <w:pPr>
        <w:ind w:left="3240" w:hanging="360"/>
      </w:pPr>
    </w:lvl>
    <w:lvl w:ilvl="4" w:tplc="CD163D1C">
      <w:start w:val="1"/>
      <w:numFmt w:val="lowerLetter"/>
      <w:lvlText w:val="%5."/>
      <w:lvlJc w:val="left"/>
      <w:pPr>
        <w:ind w:left="3960" w:hanging="360"/>
      </w:pPr>
    </w:lvl>
    <w:lvl w:ilvl="5" w:tplc="AEFED294">
      <w:start w:val="1"/>
      <w:numFmt w:val="lowerRoman"/>
      <w:lvlText w:val="%6."/>
      <w:lvlJc w:val="right"/>
      <w:pPr>
        <w:ind w:left="4680" w:hanging="180"/>
      </w:pPr>
    </w:lvl>
    <w:lvl w:ilvl="6" w:tplc="F99C9DA6">
      <w:start w:val="1"/>
      <w:numFmt w:val="decimal"/>
      <w:lvlText w:val="%7."/>
      <w:lvlJc w:val="left"/>
      <w:pPr>
        <w:ind w:left="5400" w:hanging="360"/>
      </w:pPr>
    </w:lvl>
    <w:lvl w:ilvl="7" w:tplc="96D2A0C4">
      <w:start w:val="1"/>
      <w:numFmt w:val="lowerLetter"/>
      <w:lvlText w:val="%8."/>
      <w:lvlJc w:val="left"/>
      <w:pPr>
        <w:ind w:left="6120" w:hanging="360"/>
      </w:pPr>
    </w:lvl>
    <w:lvl w:ilvl="8" w:tplc="E7AAF548">
      <w:start w:val="1"/>
      <w:numFmt w:val="lowerRoman"/>
      <w:lvlText w:val="%9."/>
      <w:lvlJc w:val="right"/>
      <w:pPr>
        <w:ind w:left="6840" w:hanging="180"/>
      </w:pPr>
    </w:lvl>
  </w:abstractNum>
  <w:abstractNum w:abstractNumId="8" w15:restartNumberingAfterBreak="0">
    <w:nsid w:val="10FF3697"/>
    <w:multiLevelType w:val="multilevel"/>
    <w:tmpl w:val="12F6DA90"/>
    <w:lvl w:ilvl="0">
      <w:start w:val="1"/>
      <w:numFmt w:val="decimal"/>
      <w:lvlText w:val="%1."/>
      <w:lvlJc w:val="left"/>
      <w:pPr>
        <w:ind w:left="531" w:hanging="377"/>
      </w:pPr>
      <w:rPr>
        <w:rFonts w:ascii="Calibri" w:eastAsia="Calibri" w:hAnsi="Calibri" w:cs="Calibri" w:hint="default"/>
        <w:b/>
        <w:bCs/>
        <w:w w:val="103"/>
        <w:sz w:val="18"/>
        <w:szCs w:val="18"/>
        <w:lang w:val="en-US" w:eastAsia="en-US" w:bidi="ar-SA"/>
      </w:rPr>
    </w:lvl>
    <w:lvl w:ilvl="1">
      <w:start w:val="1"/>
      <w:numFmt w:val="decimal"/>
      <w:lvlText w:val="%1.%2."/>
      <w:lvlJc w:val="left"/>
      <w:pPr>
        <w:ind w:left="905" w:hanging="564"/>
      </w:pPr>
      <w:rPr>
        <w:rFonts w:ascii="Calibri" w:eastAsia="Calibri" w:hAnsi="Calibri" w:cs="Calibri" w:hint="default"/>
        <w:w w:val="103"/>
        <w:sz w:val="18"/>
        <w:szCs w:val="18"/>
        <w:lang w:val="en-US" w:eastAsia="en-US" w:bidi="ar-SA"/>
      </w:rPr>
    </w:lvl>
    <w:lvl w:ilvl="2">
      <w:start w:val="1"/>
      <w:numFmt w:val="decimal"/>
      <w:lvlText w:val="%1.%2.%3."/>
      <w:lvlJc w:val="left"/>
      <w:pPr>
        <w:ind w:left="905" w:hanging="564"/>
      </w:pPr>
      <w:rPr>
        <w:rFonts w:ascii="Calibri" w:eastAsia="Calibri" w:hAnsi="Calibri" w:cs="Calibri" w:hint="default"/>
        <w:spacing w:val="-2"/>
        <w:w w:val="103"/>
        <w:sz w:val="18"/>
        <w:szCs w:val="18"/>
        <w:lang w:val="en-US" w:eastAsia="en-US" w:bidi="ar-SA"/>
      </w:rPr>
    </w:lvl>
    <w:lvl w:ilvl="3">
      <w:numFmt w:val="bullet"/>
      <w:lvlText w:val="•"/>
      <w:lvlJc w:val="left"/>
      <w:pPr>
        <w:ind w:left="1887" w:hanging="564"/>
      </w:pPr>
      <w:rPr>
        <w:rFonts w:hint="default"/>
        <w:lang w:val="en-US" w:eastAsia="en-US" w:bidi="ar-SA"/>
      </w:rPr>
    </w:lvl>
    <w:lvl w:ilvl="4">
      <w:numFmt w:val="bullet"/>
      <w:lvlText w:val="•"/>
      <w:lvlJc w:val="left"/>
      <w:pPr>
        <w:ind w:left="2875" w:hanging="564"/>
      </w:pPr>
      <w:rPr>
        <w:rFonts w:hint="default"/>
        <w:lang w:val="en-US" w:eastAsia="en-US" w:bidi="ar-SA"/>
      </w:rPr>
    </w:lvl>
    <w:lvl w:ilvl="5">
      <w:numFmt w:val="bullet"/>
      <w:lvlText w:val="•"/>
      <w:lvlJc w:val="left"/>
      <w:pPr>
        <w:ind w:left="3862" w:hanging="564"/>
      </w:pPr>
      <w:rPr>
        <w:rFonts w:hint="default"/>
        <w:lang w:val="en-US" w:eastAsia="en-US" w:bidi="ar-SA"/>
      </w:rPr>
    </w:lvl>
    <w:lvl w:ilvl="6">
      <w:numFmt w:val="bullet"/>
      <w:lvlText w:val="•"/>
      <w:lvlJc w:val="left"/>
      <w:pPr>
        <w:ind w:left="4850" w:hanging="564"/>
      </w:pPr>
      <w:rPr>
        <w:rFonts w:hint="default"/>
        <w:lang w:val="en-US" w:eastAsia="en-US" w:bidi="ar-SA"/>
      </w:rPr>
    </w:lvl>
    <w:lvl w:ilvl="7">
      <w:numFmt w:val="bullet"/>
      <w:lvlText w:val="•"/>
      <w:lvlJc w:val="left"/>
      <w:pPr>
        <w:ind w:left="5837" w:hanging="564"/>
      </w:pPr>
      <w:rPr>
        <w:rFonts w:hint="default"/>
        <w:lang w:val="en-US" w:eastAsia="en-US" w:bidi="ar-SA"/>
      </w:rPr>
    </w:lvl>
    <w:lvl w:ilvl="8">
      <w:numFmt w:val="bullet"/>
      <w:lvlText w:val="•"/>
      <w:lvlJc w:val="left"/>
      <w:pPr>
        <w:ind w:left="6825" w:hanging="564"/>
      </w:pPr>
      <w:rPr>
        <w:rFonts w:hint="default"/>
        <w:lang w:val="en-US" w:eastAsia="en-US" w:bidi="ar-SA"/>
      </w:rPr>
    </w:lvl>
  </w:abstractNum>
  <w:abstractNum w:abstractNumId="9" w15:restartNumberingAfterBreak="0">
    <w:nsid w:val="121E4519"/>
    <w:multiLevelType w:val="hybridMultilevel"/>
    <w:tmpl w:val="2402D58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1491401F"/>
    <w:multiLevelType w:val="hybridMultilevel"/>
    <w:tmpl w:val="658ABE4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15435E72"/>
    <w:multiLevelType w:val="hybridMultilevel"/>
    <w:tmpl w:val="FFFFFFFF"/>
    <w:lvl w:ilvl="0" w:tplc="1C9CFF56">
      <w:start w:val="14"/>
      <w:numFmt w:val="decimal"/>
      <w:lvlText w:val="%1."/>
      <w:lvlJc w:val="left"/>
      <w:pPr>
        <w:ind w:left="600" w:hanging="360"/>
      </w:pPr>
    </w:lvl>
    <w:lvl w:ilvl="1" w:tplc="35A09530">
      <w:start w:val="1"/>
      <w:numFmt w:val="lowerLetter"/>
      <w:lvlText w:val="%2."/>
      <w:lvlJc w:val="left"/>
      <w:pPr>
        <w:ind w:left="1320" w:hanging="360"/>
      </w:pPr>
    </w:lvl>
    <w:lvl w:ilvl="2" w:tplc="019CFDF6">
      <w:start w:val="1"/>
      <w:numFmt w:val="lowerRoman"/>
      <w:lvlText w:val="%3."/>
      <w:lvlJc w:val="right"/>
      <w:pPr>
        <w:ind w:left="2040" w:hanging="180"/>
      </w:pPr>
    </w:lvl>
    <w:lvl w:ilvl="3" w:tplc="5D12D75E">
      <w:start w:val="1"/>
      <w:numFmt w:val="decimal"/>
      <w:lvlText w:val="%4."/>
      <w:lvlJc w:val="left"/>
      <w:pPr>
        <w:ind w:left="2760" w:hanging="360"/>
      </w:pPr>
    </w:lvl>
    <w:lvl w:ilvl="4" w:tplc="C74E743A">
      <w:start w:val="1"/>
      <w:numFmt w:val="lowerLetter"/>
      <w:lvlText w:val="%5."/>
      <w:lvlJc w:val="left"/>
      <w:pPr>
        <w:ind w:left="3480" w:hanging="360"/>
      </w:pPr>
    </w:lvl>
    <w:lvl w:ilvl="5" w:tplc="4E241D16">
      <w:start w:val="1"/>
      <w:numFmt w:val="lowerRoman"/>
      <w:lvlText w:val="%6."/>
      <w:lvlJc w:val="right"/>
      <w:pPr>
        <w:ind w:left="4200" w:hanging="180"/>
      </w:pPr>
    </w:lvl>
    <w:lvl w:ilvl="6" w:tplc="5936C9FC">
      <w:start w:val="1"/>
      <w:numFmt w:val="decimal"/>
      <w:lvlText w:val="%7."/>
      <w:lvlJc w:val="left"/>
      <w:pPr>
        <w:ind w:left="4920" w:hanging="360"/>
      </w:pPr>
    </w:lvl>
    <w:lvl w:ilvl="7" w:tplc="41F49CFE">
      <w:start w:val="1"/>
      <w:numFmt w:val="lowerLetter"/>
      <w:lvlText w:val="%8."/>
      <w:lvlJc w:val="left"/>
      <w:pPr>
        <w:ind w:left="5640" w:hanging="360"/>
      </w:pPr>
    </w:lvl>
    <w:lvl w:ilvl="8" w:tplc="3F1C9B48">
      <w:start w:val="1"/>
      <w:numFmt w:val="lowerRoman"/>
      <w:lvlText w:val="%9."/>
      <w:lvlJc w:val="right"/>
      <w:pPr>
        <w:ind w:left="6360" w:hanging="180"/>
      </w:pPr>
    </w:lvl>
  </w:abstractNum>
  <w:abstractNum w:abstractNumId="12" w15:restartNumberingAfterBreak="0">
    <w:nsid w:val="16C76B70"/>
    <w:multiLevelType w:val="hybridMultilevel"/>
    <w:tmpl w:val="05C2590C"/>
    <w:lvl w:ilvl="0" w:tplc="AA2CDE0A">
      <w:numFmt w:val="none"/>
      <w:lvlText w:val=""/>
      <w:lvlJc w:val="left"/>
      <w:pPr>
        <w:tabs>
          <w:tab w:val="num" w:pos="360"/>
        </w:tabs>
      </w:pPr>
    </w:lvl>
    <w:lvl w:ilvl="1" w:tplc="DF0A1CAE">
      <w:start w:val="1"/>
      <w:numFmt w:val="lowerLetter"/>
      <w:lvlText w:val="%2."/>
      <w:lvlJc w:val="left"/>
      <w:pPr>
        <w:ind w:left="1800" w:hanging="360"/>
      </w:pPr>
    </w:lvl>
    <w:lvl w:ilvl="2" w:tplc="8D36B9EA">
      <w:start w:val="1"/>
      <w:numFmt w:val="lowerRoman"/>
      <w:lvlText w:val="%3."/>
      <w:lvlJc w:val="right"/>
      <w:pPr>
        <w:ind w:left="2520" w:hanging="180"/>
      </w:pPr>
    </w:lvl>
    <w:lvl w:ilvl="3" w:tplc="E6DAC6B2">
      <w:start w:val="1"/>
      <w:numFmt w:val="decimal"/>
      <w:lvlText w:val="%4."/>
      <w:lvlJc w:val="left"/>
      <w:pPr>
        <w:ind w:left="3240" w:hanging="360"/>
      </w:pPr>
    </w:lvl>
    <w:lvl w:ilvl="4" w:tplc="13B8D80A">
      <w:start w:val="1"/>
      <w:numFmt w:val="lowerLetter"/>
      <w:lvlText w:val="%5."/>
      <w:lvlJc w:val="left"/>
      <w:pPr>
        <w:ind w:left="3960" w:hanging="360"/>
      </w:pPr>
    </w:lvl>
    <w:lvl w:ilvl="5" w:tplc="7528F4C6">
      <w:start w:val="1"/>
      <w:numFmt w:val="lowerRoman"/>
      <w:lvlText w:val="%6."/>
      <w:lvlJc w:val="right"/>
      <w:pPr>
        <w:ind w:left="4680" w:hanging="180"/>
      </w:pPr>
    </w:lvl>
    <w:lvl w:ilvl="6" w:tplc="174CFC72">
      <w:start w:val="1"/>
      <w:numFmt w:val="decimal"/>
      <w:lvlText w:val="%7."/>
      <w:lvlJc w:val="left"/>
      <w:pPr>
        <w:ind w:left="5400" w:hanging="360"/>
      </w:pPr>
    </w:lvl>
    <w:lvl w:ilvl="7" w:tplc="30441A64">
      <w:start w:val="1"/>
      <w:numFmt w:val="lowerLetter"/>
      <w:lvlText w:val="%8."/>
      <w:lvlJc w:val="left"/>
      <w:pPr>
        <w:ind w:left="6120" w:hanging="360"/>
      </w:pPr>
    </w:lvl>
    <w:lvl w:ilvl="8" w:tplc="C3FAC2A4">
      <w:start w:val="1"/>
      <w:numFmt w:val="lowerRoman"/>
      <w:lvlText w:val="%9."/>
      <w:lvlJc w:val="right"/>
      <w:pPr>
        <w:ind w:left="6840" w:hanging="180"/>
      </w:pPr>
    </w:lvl>
  </w:abstractNum>
  <w:abstractNum w:abstractNumId="13" w15:restartNumberingAfterBreak="0">
    <w:nsid w:val="16CD7C8B"/>
    <w:multiLevelType w:val="hybridMultilevel"/>
    <w:tmpl w:val="507874FA"/>
    <w:lvl w:ilvl="0" w:tplc="B704CE02">
      <w:start w:val="1"/>
      <w:numFmt w:val="bullet"/>
      <w:lvlText w:val="•"/>
      <w:lvlJc w:val="left"/>
      <w:pPr>
        <w:ind w:left="1080" w:hanging="360"/>
      </w:pPr>
      <w:rPr>
        <w:rFonts w:ascii="Arial" w:hAnsi="Aria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4" w15:restartNumberingAfterBreak="0">
    <w:nsid w:val="17515533"/>
    <w:multiLevelType w:val="hybridMultilevel"/>
    <w:tmpl w:val="FFFFFFFF"/>
    <w:lvl w:ilvl="0" w:tplc="C28C1A5A">
      <w:start w:val="14"/>
      <w:numFmt w:val="decimal"/>
      <w:lvlText w:val="%1."/>
      <w:lvlJc w:val="left"/>
      <w:pPr>
        <w:ind w:left="600" w:hanging="360"/>
      </w:pPr>
    </w:lvl>
    <w:lvl w:ilvl="1" w:tplc="4A62F9A6">
      <w:start w:val="1"/>
      <w:numFmt w:val="lowerLetter"/>
      <w:lvlText w:val="%2."/>
      <w:lvlJc w:val="left"/>
      <w:pPr>
        <w:ind w:left="1320" w:hanging="360"/>
      </w:pPr>
    </w:lvl>
    <w:lvl w:ilvl="2" w:tplc="D6424C5E">
      <w:start w:val="1"/>
      <w:numFmt w:val="lowerRoman"/>
      <w:lvlText w:val="%3."/>
      <w:lvlJc w:val="right"/>
      <w:pPr>
        <w:ind w:left="2040" w:hanging="180"/>
      </w:pPr>
    </w:lvl>
    <w:lvl w:ilvl="3" w:tplc="4712DD0C">
      <w:start w:val="1"/>
      <w:numFmt w:val="decimal"/>
      <w:lvlText w:val="%4."/>
      <w:lvlJc w:val="left"/>
      <w:pPr>
        <w:ind w:left="2760" w:hanging="360"/>
      </w:pPr>
    </w:lvl>
    <w:lvl w:ilvl="4" w:tplc="AD5C3936">
      <w:start w:val="1"/>
      <w:numFmt w:val="lowerLetter"/>
      <w:lvlText w:val="%5."/>
      <w:lvlJc w:val="left"/>
      <w:pPr>
        <w:ind w:left="3480" w:hanging="360"/>
      </w:pPr>
    </w:lvl>
    <w:lvl w:ilvl="5" w:tplc="3B8CD314">
      <w:start w:val="1"/>
      <w:numFmt w:val="lowerRoman"/>
      <w:lvlText w:val="%6."/>
      <w:lvlJc w:val="right"/>
      <w:pPr>
        <w:ind w:left="4200" w:hanging="180"/>
      </w:pPr>
    </w:lvl>
    <w:lvl w:ilvl="6" w:tplc="4B72D19A">
      <w:start w:val="1"/>
      <w:numFmt w:val="decimal"/>
      <w:lvlText w:val="%7."/>
      <w:lvlJc w:val="left"/>
      <w:pPr>
        <w:ind w:left="4920" w:hanging="360"/>
      </w:pPr>
    </w:lvl>
    <w:lvl w:ilvl="7" w:tplc="A54E2814">
      <w:start w:val="1"/>
      <w:numFmt w:val="lowerLetter"/>
      <w:lvlText w:val="%8."/>
      <w:lvlJc w:val="left"/>
      <w:pPr>
        <w:ind w:left="5640" w:hanging="360"/>
      </w:pPr>
    </w:lvl>
    <w:lvl w:ilvl="8" w:tplc="CCDA4D24">
      <w:start w:val="1"/>
      <w:numFmt w:val="lowerRoman"/>
      <w:lvlText w:val="%9."/>
      <w:lvlJc w:val="right"/>
      <w:pPr>
        <w:ind w:left="6360" w:hanging="180"/>
      </w:pPr>
    </w:lvl>
  </w:abstractNum>
  <w:abstractNum w:abstractNumId="15" w15:restartNumberingAfterBreak="0">
    <w:nsid w:val="19934F88"/>
    <w:multiLevelType w:val="hybridMultilevel"/>
    <w:tmpl w:val="4A8676AE"/>
    <w:lvl w:ilvl="0" w:tplc="80AA5924">
      <w:numFmt w:val="none"/>
      <w:lvlText w:val=""/>
      <w:lvlJc w:val="left"/>
      <w:pPr>
        <w:tabs>
          <w:tab w:val="num" w:pos="360"/>
        </w:tabs>
      </w:pPr>
    </w:lvl>
    <w:lvl w:ilvl="1" w:tplc="27DA5EDA">
      <w:start w:val="1"/>
      <w:numFmt w:val="lowerLetter"/>
      <w:lvlText w:val="%2."/>
      <w:lvlJc w:val="left"/>
      <w:pPr>
        <w:ind w:left="1572" w:hanging="360"/>
      </w:pPr>
    </w:lvl>
    <w:lvl w:ilvl="2" w:tplc="6C06C218">
      <w:start w:val="1"/>
      <w:numFmt w:val="lowerRoman"/>
      <w:lvlText w:val="%3."/>
      <w:lvlJc w:val="right"/>
      <w:pPr>
        <w:ind w:left="2292" w:hanging="180"/>
      </w:pPr>
    </w:lvl>
    <w:lvl w:ilvl="3" w:tplc="CD246AEA">
      <w:start w:val="1"/>
      <w:numFmt w:val="decimal"/>
      <w:lvlText w:val="%4."/>
      <w:lvlJc w:val="left"/>
      <w:pPr>
        <w:ind w:left="3012" w:hanging="360"/>
      </w:pPr>
    </w:lvl>
    <w:lvl w:ilvl="4" w:tplc="1436E224">
      <w:start w:val="1"/>
      <w:numFmt w:val="lowerLetter"/>
      <w:lvlText w:val="%5."/>
      <w:lvlJc w:val="left"/>
      <w:pPr>
        <w:ind w:left="3732" w:hanging="360"/>
      </w:pPr>
    </w:lvl>
    <w:lvl w:ilvl="5" w:tplc="068EBFBE">
      <w:start w:val="1"/>
      <w:numFmt w:val="lowerRoman"/>
      <w:lvlText w:val="%6."/>
      <w:lvlJc w:val="right"/>
      <w:pPr>
        <w:ind w:left="4452" w:hanging="180"/>
      </w:pPr>
    </w:lvl>
    <w:lvl w:ilvl="6" w:tplc="6DC6E80C">
      <w:start w:val="1"/>
      <w:numFmt w:val="decimal"/>
      <w:lvlText w:val="%7."/>
      <w:lvlJc w:val="left"/>
      <w:pPr>
        <w:ind w:left="5172" w:hanging="360"/>
      </w:pPr>
    </w:lvl>
    <w:lvl w:ilvl="7" w:tplc="CEBC8316">
      <w:start w:val="1"/>
      <w:numFmt w:val="lowerLetter"/>
      <w:lvlText w:val="%8."/>
      <w:lvlJc w:val="left"/>
      <w:pPr>
        <w:ind w:left="5892" w:hanging="360"/>
      </w:pPr>
    </w:lvl>
    <w:lvl w:ilvl="8" w:tplc="6DF6E148">
      <w:start w:val="1"/>
      <w:numFmt w:val="lowerRoman"/>
      <w:lvlText w:val="%9."/>
      <w:lvlJc w:val="right"/>
      <w:pPr>
        <w:ind w:left="6612" w:hanging="180"/>
      </w:pPr>
    </w:lvl>
  </w:abstractNum>
  <w:abstractNum w:abstractNumId="16" w15:restartNumberingAfterBreak="0">
    <w:nsid w:val="1A7A63F0"/>
    <w:multiLevelType w:val="hybridMultilevel"/>
    <w:tmpl w:val="61D0C274"/>
    <w:lvl w:ilvl="0" w:tplc="1C090001">
      <w:start w:val="1"/>
      <w:numFmt w:val="bullet"/>
      <w:lvlText w:val=""/>
      <w:lvlJc w:val="left"/>
      <w:pPr>
        <w:ind w:left="1212" w:hanging="360"/>
      </w:pPr>
      <w:rPr>
        <w:rFonts w:ascii="Symbol" w:hAnsi="Symbol" w:hint="default"/>
      </w:rPr>
    </w:lvl>
    <w:lvl w:ilvl="1" w:tplc="1C090003" w:tentative="1">
      <w:start w:val="1"/>
      <w:numFmt w:val="bullet"/>
      <w:lvlText w:val="o"/>
      <w:lvlJc w:val="left"/>
      <w:pPr>
        <w:ind w:left="1932" w:hanging="360"/>
      </w:pPr>
      <w:rPr>
        <w:rFonts w:ascii="Courier New" w:hAnsi="Courier New" w:cs="Courier New" w:hint="default"/>
      </w:rPr>
    </w:lvl>
    <w:lvl w:ilvl="2" w:tplc="1C090005" w:tentative="1">
      <w:start w:val="1"/>
      <w:numFmt w:val="bullet"/>
      <w:lvlText w:val=""/>
      <w:lvlJc w:val="left"/>
      <w:pPr>
        <w:ind w:left="2652" w:hanging="360"/>
      </w:pPr>
      <w:rPr>
        <w:rFonts w:ascii="Wingdings" w:hAnsi="Wingdings" w:hint="default"/>
      </w:rPr>
    </w:lvl>
    <w:lvl w:ilvl="3" w:tplc="1C090001" w:tentative="1">
      <w:start w:val="1"/>
      <w:numFmt w:val="bullet"/>
      <w:lvlText w:val=""/>
      <w:lvlJc w:val="left"/>
      <w:pPr>
        <w:ind w:left="3372" w:hanging="360"/>
      </w:pPr>
      <w:rPr>
        <w:rFonts w:ascii="Symbol" w:hAnsi="Symbol" w:hint="default"/>
      </w:rPr>
    </w:lvl>
    <w:lvl w:ilvl="4" w:tplc="1C090003" w:tentative="1">
      <w:start w:val="1"/>
      <w:numFmt w:val="bullet"/>
      <w:lvlText w:val="o"/>
      <w:lvlJc w:val="left"/>
      <w:pPr>
        <w:ind w:left="4092" w:hanging="360"/>
      </w:pPr>
      <w:rPr>
        <w:rFonts w:ascii="Courier New" w:hAnsi="Courier New" w:cs="Courier New" w:hint="default"/>
      </w:rPr>
    </w:lvl>
    <w:lvl w:ilvl="5" w:tplc="1C090005" w:tentative="1">
      <w:start w:val="1"/>
      <w:numFmt w:val="bullet"/>
      <w:lvlText w:val=""/>
      <w:lvlJc w:val="left"/>
      <w:pPr>
        <w:ind w:left="4812" w:hanging="360"/>
      </w:pPr>
      <w:rPr>
        <w:rFonts w:ascii="Wingdings" w:hAnsi="Wingdings" w:hint="default"/>
      </w:rPr>
    </w:lvl>
    <w:lvl w:ilvl="6" w:tplc="1C090001" w:tentative="1">
      <w:start w:val="1"/>
      <w:numFmt w:val="bullet"/>
      <w:lvlText w:val=""/>
      <w:lvlJc w:val="left"/>
      <w:pPr>
        <w:ind w:left="5532" w:hanging="360"/>
      </w:pPr>
      <w:rPr>
        <w:rFonts w:ascii="Symbol" w:hAnsi="Symbol" w:hint="default"/>
      </w:rPr>
    </w:lvl>
    <w:lvl w:ilvl="7" w:tplc="1C090003" w:tentative="1">
      <w:start w:val="1"/>
      <w:numFmt w:val="bullet"/>
      <w:lvlText w:val="o"/>
      <w:lvlJc w:val="left"/>
      <w:pPr>
        <w:ind w:left="6252" w:hanging="360"/>
      </w:pPr>
      <w:rPr>
        <w:rFonts w:ascii="Courier New" w:hAnsi="Courier New" w:cs="Courier New" w:hint="default"/>
      </w:rPr>
    </w:lvl>
    <w:lvl w:ilvl="8" w:tplc="1C090005" w:tentative="1">
      <w:start w:val="1"/>
      <w:numFmt w:val="bullet"/>
      <w:lvlText w:val=""/>
      <w:lvlJc w:val="left"/>
      <w:pPr>
        <w:ind w:left="6972" w:hanging="360"/>
      </w:pPr>
      <w:rPr>
        <w:rFonts w:ascii="Wingdings" w:hAnsi="Wingdings" w:hint="default"/>
      </w:rPr>
    </w:lvl>
  </w:abstractNum>
  <w:abstractNum w:abstractNumId="17" w15:restartNumberingAfterBreak="0">
    <w:nsid w:val="1B19D93D"/>
    <w:multiLevelType w:val="hybridMultilevel"/>
    <w:tmpl w:val="9CACF7A2"/>
    <w:lvl w:ilvl="0" w:tplc="CA7C7F4C">
      <w:start w:val="1"/>
      <w:numFmt w:val="bullet"/>
      <w:lvlText w:val=""/>
      <w:lvlJc w:val="left"/>
      <w:pPr>
        <w:ind w:left="720" w:hanging="360"/>
      </w:pPr>
      <w:rPr>
        <w:rFonts w:ascii="Symbol" w:hAnsi="Symbol" w:hint="default"/>
      </w:rPr>
    </w:lvl>
    <w:lvl w:ilvl="1" w:tplc="2F8E9F28">
      <w:start w:val="1"/>
      <w:numFmt w:val="bullet"/>
      <w:lvlText w:val="o"/>
      <w:lvlJc w:val="left"/>
      <w:pPr>
        <w:ind w:left="1440" w:hanging="360"/>
      </w:pPr>
      <w:rPr>
        <w:rFonts w:ascii="Courier New" w:hAnsi="Courier New" w:hint="default"/>
      </w:rPr>
    </w:lvl>
    <w:lvl w:ilvl="2" w:tplc="33907592">
      <w:start w:val="1"/>
      <w:numFmt w:val="bullet"/>
      <w:lvlText w:val=""/>
      <w:lvlJc w:val="left"/>
      <w:pPr>
        <w:ind w:left="2160" w:hanging="360"/>
      </w:pPr>
      <w:rPr>
        <w:rFonts w:ascii="Wingdings" w:hAnsi="Wingdings" w:hint="default"/>
      </w:rPr>
    </w:lvl>
    <w:lvl w:ilvl="3" w:tplc="E9CA8990">
      <w:start w:val="1"/>
      <w:numFmt w:val="bullet"/>
      <w:lvlText w:val=""/>
      <w:lvlJc w:val="left"/>
      <w:pPr>
        <w:ind w:left="2880" w:hanging="360"/>
      </w:pPr>
      <w:rPr>
        <w:rFonts w:ascii="Symbol" w:hAnsi="Symbol" w:hint="default"/>
      </w:rPr>
    </w:lvl>
    <w:lvl w:ilvl="4" w:tplc="DBE46370">
      <w:start w:val="1"/>
      <w:numFmt w:val="bullet"/>
      <w:lvlText w:val="o"/>
      <w:lvlJc w:val="left"/>
      <w:pPr>
        <w:ind w:left="3600" w:hanging="360"/>
      </w:pPr>
      <w:rPr>
        <w:rFonts w:ascii="Courier New" w:hAnsi="Courier New" w:hint="default"/>
      </w:rPr>
    </w:lvl>
    <w:lvl w:ilvl="5" w:tplc="4238B542">
      <w:start w:val="1"/>
      <w:numFmt w:val="bullet"/>
      <w:lvlText w:val=""/>
      <w:lvlJc w:val="left"/>
      <w:pPr>
        <w:ind w:left="4320" w:hanging="360"/>
      </w:pPr>
      <w:rPr>
        <w:rFonts w:ascii="Wingdings" w:hAnsi="Wingdings" w:hint="default"/>
      </w:rPr>
    </w:lvl>
    <w:lvl w:ilvl="6" w:tplc="24EA9FE2">
      <w:start w:val="1"/>
      <w:numFmt w:val="bullet"/>
      <w:lvlText w:val=""/>
      <w:lvlJc w:val="left"/>
      <w:pPr>
        <w:ind w:left="5040" w:hanging="360"/>
      </w:pPr>
      <w:rPr>
        <w:rFonts w:ascii="Symbol" w:hAnsi="Symbol" w:hint="default"/>
      </w:rPr>
    </w:lvl>
    <w:lvl w:ilvl="7" w:tplc="1EDA0F5A">
      <w:start w:val="1"/>
      <w:numFmt w:val="bullet"/>
      <w:lvlText w:val="o"/>
      <w:lvlJc w:val="left"/>
      <w:pPr>
        <w:ind w:left="5760" w:hanging="360"/>
      </w:pPr>
      <w:rPr>
        <w:rFonts w:ascii="Courier New" w:hAnsi="Courier New" w:hint="default"/>
      </w:rPr>
    </w:lvl>
    <w:lvl w:ilvl="8" w:tplc="69FC5FCA">
      <w:start w:val="1"/>
      <w:numFmt w:val="bullet"/>
      <w:lvlText w:val=""/>
      <w:lvlJc w:val="left"/>
      <w:pPr>
        <w:ind w:left="6480" w:hanging="360"/>
      </w:pPr>
      <w:rPr>
        <w:rFonts w:ascii="Wingdings" w:hAnsi="Wingdings" w:hint="default"/>
      </w:rPr>
    </w:lvl>
  </w:abstractNum>
  <w:abstractNum w:abstractNumId="18" w15:restartNumberingAfterBreak="0">
    <w:nsid w:val="1C9000B6"/>
    <w:multiLevelType w:val="hybridMultilevel"/>
    <w:tmpl w:val="D01C5350"/>
    <w:lvl w:ilvl="0" w:tplc="B704CE02">
      <w:start w:val="1"/>
      <w:numFmt w:val="bullet"/>
      <w:lvlText w:val="•"/>
      <w:lvlJc w:val="left"/>
      <w:pPr>
        <w:ind w:left="1080" w:hanging="360"/>
      </w:pPr>
      <w:rPr>
        <w:rFonts w:ascii="Arial" w:hAnsi="Aria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9" w15:restartNumberingAfterBreak="0">
    <w:nsid w:val="1CAC3419"/>
    <w:multiLevelType w:val="multilevel"/>
    <w:tmpl w:val="DF345940"/>
    <w:lvl w:ilvl="0">
      <w:start w:val="4"/>
      <w:numFmt w:val="decimal"/>
      <w:lvlText w:val="%1."/>
      <w:lvlJc w:val="left"/>
      <w:pPr>
        <w:ind w:left="154" w:hanging="223"/>
      </w:pPr>
      <w:rPr>
        <w:rFonts w:ascii="Arial MT" w:eastAsia="Arial MT" w:hAnsi="Arial MT" w:cs="Arial MT" w:hint="default"/>
        <w:spacing w:val="-2"/>
        <w:w w:val="99"/>
        <w:sz w:val="21"/>
        <w:szCs w:val="21"/>
        <w:lang w:val="en-US" w:eastAsia="en-US" w:bidi="ar-SA"/>
      </w:rPr>
    </w:lvl>
    <w:lvl w:ilvl="1">
      <w:start w:val="9"/>
      <w:numFmt w:val="decimal"/>
      <w:lvlText w:val="%2."/>
      <w:lvlJc w:val="left"/>
      <w:pPr>
        <w:ind w:left="579" w:hanging="339"/>
      </w:pPr>
      <w:rPr>
        <w:rFonts w:ascii="Arial" w:eastAsia="Arial" w:hAnsi="Arial" w:cs="Arial" w:hint="default"/>
        <w:b/>
        <w:bCs/>
        <w:spacing w:val="-2"/>
        <w:w w:val="99"/>
        <w:sz w:val="21"/>
        <w:szCs w:val="21"/>
        <w:lang w:val="en-US" w:eastAsia="en-US" w:bidi="ar-SA"/>
      </w:rPr>
    </w:lvl>
    <w:lvl w:ilvl="2">
      <w:start w:val="1"/>
      <w:numFmt w:val="decimal"/>
      <w:lvlText w:val="%2.%3."/>
      <w:lvlJc w:val="left"/>
      <w:pPr>
        <w:ind w:left="646" w:hanging="406"/>
        <w:jc w:val="right"/>
      </w:pPr>
      <w:rPr>
        <w:rFonts w:ascii="Arial" w:eastAsia="Arial" w:hAnsi="Arial" w:cs="Arial" w:hint="default"/>
        <w:b/>
        <w:bCs/>
        <w:spacing w:val="-2"/>
        <w:w w:val="99"/>
        <w:sz w:val="21"/>
        <w:szCs w:val="21"/>
        <w:lang w:val="en-US" w:eastAsia="en-US" w:bidi="ar-SA"/>
      </w:rPr>
    </w:lvl>
    <w:lvl w:ilvl="3">
      <w:numFmt w:val="bullet"/>
      <w:lvlText w:val="•"/>
      <w:lvlJc w:val="left"/>
      <w:pPr>
        <w:ind w:left="960" w:hanging="406"/>
      </w:pPr>
      <w:rPr>
        <w:rFonts w:hint="default"/>
        <w:lang w:val="en-US" w:eastAsia="en-US" w:bidi="ar-SA"/>
      </w:rPr>
    </w:lvl>
    <w:lvl w:ilvl="4">
      <w:numFmt w:val="bullet"/>
      <w:lvlText w:val="•"/>
      <w:lvlJc w:val="left"/>
      <w:pPr>
        <w:ind w:left="2080" w:hanging="406"/>
      </w:pPr>
      <w:rPr>
        <w:rFonts w:hint="default"/>
        <w:lang w:val="en-US" w:eastAsia="en-US" w:bidi="ar-SA"/>
      </w:rPr>
    </w:lvl>
    <w:lvl w:ilvl="5">
      <w:numFmt w:val="bullet"/>
      <w:lvlText w:val="•"/>
      <w:lvlJc w:val="left"/>
      <w:pPr>
        <w:ind w:left="3200" w:hanging="406"/>
      </w:pPr>
      <w:rPr>
        <w:rFonts w:hint="default"/>
        <w:lang w:val="en-US" w:eastAsia="en-US" w:bidi="ar-SA"/>
      </w:rPr>
    </w:lvl>
    <w:lvl w:ilvl="6">
      <w:numFmt w:val="bullet"/>
      <w:lvlText w:val="•"/>
      <w:lvlJc w:val="left"/>
      <w:pPr>
        <w:ind w:left="4320" w:hanging="406"/>
      </w:pPr>
      <w:rPr>
        <w:rFonts w:hint="default"/>
        <w:lang w:val="en-US" w:eastAsia="en-US" w:bidi="ar-SA"/>
      </w:rPr>
    </w:lvl>
    <w:lvl w:ilvl="7">
      <w:numFmt w:val="bullet"/>
      <w:lvlText w:val="•"/>
      <w:lvlJc w:val="left"/>
      <w:pPr>
        <w:ind w:left="5440" w:hanging="406"/>
      </w:pPr>
      <w:rPr>
        <w:rFonts w:hint="default"/>
        <w:lang w:val="en-US" w:eastAsia="en-US" w:bidi="ar-SA"/>
      </w:rPr>
    </w:lvl>
    <w:lvl w:ilvl="8">
      <w:numFmt w:val="bullet"/>
      <w:lvlText w:val="•"/>
      <w:lvlJc w:val="left"/>
      <w:pPr>
        <w:ind w:left="6560" w:hanging="406"/>
      </w:pPr>
      <w:rPr>
        <w:rFonts w:hint="default"/>
        <w:lang w:val="en-US" w:eastAsia="en-US" w:bidi="ar-SA"/>
      </w:rPr>
    </w:lvl>
  </w:abstractNum>
  <w:abstractNum w:abstractNumId="20" w15:restartNumberingAfterBreak="0">
    <w:nsid w:val="1E95F60B"/>
    <w:multiLevelType w:val="hybridMultilevel"/>
    <w:tmpl w:val="FFFFFFFF"/>
    <w:lvl w:ilvl="0" w:tplc="13DC28C0">
      <w:numFmt w:val="none"/>
      <w:lvlText w:val=""/>
      <w:lvlJc w:val="left"/>
      <w:pPr>
        <w:tabs>
          <w:tab w:val="num" w:pos="360"/>
        </w:tabs>
      </w:pPr>
    </w:lvl>
    <w:lvl w:ilvl="1" w:tplc="C4CEA9DC">
      <w:start w:val="1"/>
      <w:numFmt w:val="lowerLetter"/>
      <w:lvlText w:val="%2."/>
      <w:lvlJc w:val="left"/>
      <w:pPr>
        <w:ind w:left="1700" w:hanging="360"/>
      </w:pPr>
    </w:lvl>
    <w:lvl w:ilvl="2" w:tplc="FD1246F6">
      <w:start w:val="1"/>
      <w:numFmt w:val="lowerRoman"/>
      <w:lvlText w:val="%3."/>
      <w:lvlJc w:val="right"/>
      <w:pPr>
        <w:ind w:left="2420" w:hanging="180"/>
      </w:pPr>
    </w:lvl>
    <w:lvl w:ilvl="3" w:tplc="C97074BE">
      <w:start w:val="1"/>
      <w:numFmt w:val="decimal"/>
      <w:lvlText w:val="%4."/>
      <w:lvlJc w:val="left"/>
      <w:pPr>
        <w:ind w:left="3140" w:hanging="360"/>
      </w:pPr>
    </w:lvl>
    <w:lvl w:ilvl="4" w:tplc="429820C0">
      <w:start w:val="1"/>
      <w:numFmt w:val="lowerLetter"/>
      <w:lvlText w:val="%5."/>
      <w:lvlJc w:val="left"/>
      <w:pPr>
        <w:ind w:left="3860" w:hanging="360"/>
      </w:pPr>
    </w:lvl>
    <w:lvl w:ilvl="5" w:tplc="A9A22CB8">
      <w:start w:val="1"/>
      <w:numFmt w:val="lowerRoman"/>
      <w:lvlText w:val="%6."/>
      <w:lvlJc w:val="right"/>
      <w:pPr>
        <w:ind w:left="4580" w:hanging="180"/>
      </w:pPr>
    </w:lvl>
    <w:lvl w:ilvl="6" w:tplc="13980656">
      <w:start w:val="1"/>
      <w:numFmt w:val="decimal"/>
      <w:lvlText w:val="%7."/>
      <w:lvlJc w:val="left"/>
      <w:pPr>
        <w:ind w:left="5300" w:hanging="360"/>
      </w:pPr>
    </w:lvl>
    <w:lvl w:ilvl="7" w:tplc="8116CEBA">
      <w:start w:val="1"/>
      <w:numFmt w:val="lowerLetter"/>
      <w:lvlText w:val="%8."/>
      <w:lvlJc w:val="left"/>
      <w:pPr>
        <w:ind w:left="6020" w:hanging="360"/>
      </w:pPr>
    </w:lvl>
    <w:lvl w:ilvl="8" w:tplc="604A8998">
      <w:start w:val="1"/>
      <w:numFmt w:val="lowerRoman"/>
      <w:lvlText w:val="%9."/>
      <w:lvlJc w:val="right"/>
      <w:pPr>
        <w:ind w:left="6740" w:hanging="180"/>
      </w:pPr>
    </w:lvl>
  </w:abstractNum>
  <w:abstractNum w:abstractNumId="21" w15:restartNumberingAfterBreak="0">
    <w:nsid w:val="20DE1E87"/>
    <w:multiLevelType w:val="hybridMultilevel"/>
    <w:tmpl w:val="BBD0CE3A"/>
    <w:lvl w:ilvl="0" w:tplc="B8AC3AF2">
      <w:start w:val="1"/>
      <w:numFmt w:val="lowerLetter"/>
      <w:lvlText w:val="%1."/>
      <w:lvlJc w:val="left"/>
      <w:pPr>
        <w:ind w:left="852" w:hanging="360"/>
      </w:pPr>
      <w:rPr>
        <w:rFonts w:hint="default"/>
      </w:rPr>
    </w:lvl>
    <w:lvl w:ilvl="1" w:tplc="04090019" w:tentative="1">
      <w:start w:val="1"/>
      <w:numFmt w:val="lowerLetter"/>
      <w:lvlText w:val="%2."/>
      <w:lvlJc w:val="left"/>
      <w:pPr>
        <w:ind w:left="1572" w:hanging="360"/>
      </w:pPr>
    </w:lvl>
    <w:lvl w:ilvl="2" w:tplc="0409001B" w:tentative="1">
      <w:start w:val="1"/>
      <w:numFmt w:val="lowerRoman"/>
      <w:lvlText w:val="%3."/>
      <w:lvlJc w:val="right"/>
      <w:pPr>
        <w:ind w:left="2292" w:hanging="180"/>
      </w:pPr>
    </w:lvl>
    <w:lvl w:ilvl="3" w:tplc="0409000F" w:tentative="1">
      <w:start w:val="1"/>
      <w:numFmt w:val="decimal"/>
      <w:lvlText w:val="%4."/>
      <w:lvlJc w:val="left"/>
      <w:pPr>
        <w:ind w:left="3012" w:hanging="360"/>
      </w:pPr>
    </w:lvl>
    <w:lvl w:ilvl="4" w:tplc="04090019" w:tentative="1">
      <w:start w:val="1"/>
      <w:numFmt w:val="lowerLetter"/>
      <w:lvlText w:val="%5."/>
      <w:lvlJc w:val="left"/>
      <w:pPr>
        <w:ind w:left="3732" w:hanging="360"/>
      </w:pPr>
    </w:lvl>
    <w:lvl w:ilvl="5" w:tplc="0409001B" w:tentative="1">
      <w:start w:val="1"/>
      <w:numFmt w:val="lowerRoman"/>
      <w:lvlText w:val="%6."/>
      <w:lvlJc w:val="right"/>
      <w:pPr>
        <w:ind w:left="4452" w:hanging="180"/>
      </w:pPr>
    </w:lvl>
    <w:lvl w:ilvl="6" w:tplc="0409000F" w:tentative="1">
      <w:start w:val="1"/>
      <w:numFmt w:val="decimal"/>
      <w:lvlText w:val="%7."/>
      <w:lvlJc w:val="left"/>
      <w:pPr>
        <w:ind w:left="5172" w:hanging="360"/>
      </w:pPr>
    </w:lvl>
    <w:lvl w:ilvl="7" w:tplc="04090019" w:tentative="1">
      <w:start w:val="1"/>
      <w:numFmt w:val="lowerLetter"/>
      <w:lvlText w:val="%8."/>
      <w:lvlJc w:val="left"/>
      <w:pPr>
        <w:ind w:left="5892" w:hanging="360"/>
      </w:pPr>
    </w:lvl>
    <w:lvl w:ilvl="8" w:tplc="0409001B" w:tentative="1">
      <w:start w:val="1"/>
      <w:numFmt w:val="lowerRoman"/>
      <w:lvlText w:val="%9."/>
      <w:lvlJc w:val="right"/>
      <w:pPr>
        <w:ind w:left="6612" w:hanging="180"/>
      </w:pPr>
    </w:lvl>
  </w:abstractNum>
  <w:abstractNum w:abstractNumId="22" w15:restartNumberingAfterBreak="0">
    <w:nsid w:val="213164FE"/>
    <w:multiLevelType w:val="hybridMultilevel"/>
    <w:tmpl w:val="BB90028E"/>
    <w:lvl w:ilvl="0" w:tplc="84820492">
      <w:numFmt w:val="none"/>
      <w:lvlText w:val=""/>
      <w:lvlJc w:val="left"/>
      <w:pPr>
        <w:tabs>
          <w:tab w:val="num" w:pos="360"/>
        </w:tabs>
      </w:pPr>
    </w:lvl>
    <w:lvl w:ilvl="1" w:tplc="D87EEAAC">
      <w:start w:val="1"/>
      <w:numFmt w:val="lowerLetter"/>
      <w:lvlText w:val="%2."/>
      <w:lvlJc w:val="left"/>
      <w:pPr>
        <w:ind w:left="2157" w:hanging="360"/>
      </w:pPr>
    </w:lvl>
    <w:lvl w:ilvl="2" w:tplc="675A5D58">
      <w:start w:val="1"/>
      <w:numFmt w:val="lowerRoman"/>
      <w:lvlText w:val="%3."/>
      <w:lvlJc w:val="right"/>
      <w:pPr>
        <w:ind w:left="2877" w:hanging="180"/>
      </w:pPr>
    </w:lvl>
    <w:lvl w:ilvl="3" w:tplc="6F3CBA90">
      <w:start w:val="1"/>
      <w:numFmt w:val="decimal"/>
      <w:lvlText w:val="%4."/>
      <w:lvlJc w:val="left"/>
      <w:pPr>
        <w:ind w:left="3597" w:hanging="360"/>
      </w:pPr>
    </w:lvl>
    <w:lvl w:ilvl="4" w:tplc="BA780FA4">
      <w:start w:val="1"/>
      <w:numFmt w:val="lowerLetter"/>
      <w:lvlText w:val="%5."/>
      <w:lvlJc w:val="left"/>
      <w:pPr>
        <w:ind w:left="4317" w:hanging="360"/>
      </w:pPr>
    </w:lvl>
    <w:lvl w:ilvl="5" w:tplc="77E2A5EE">
      <w:start w:val="1"/>
      <w:numFmt w:val="lowerRoman"/>
      <w:lvlText w:val="%6."/>
      <w:lvlJc w:val="right"/>
      <w:pPr>
        <w:ind w:left="5037" w:hanging="180"/>
      </w:pPr>
    </w:lvl>
    <w:lvl w:ilvl="6" w:tplc="1A022B3A">
      <w:start w:val="1"/>
      <w:numFmt w:val="decimal"/>
      <w:lvlText w:val="%7."/>
      <w:lvlJc w:val="left"/>
      <w:pPr>
        <w:ind w:left="5757" w:hanging="360"/>
      </w:pPr>
    </w:lvl>
    <w:lvl w:ilvl="7" w:tplc="C81A4BA8">
      <w:start w:val="1"/>
      <w:numFmt w:val="lowerLetter"/>
      <w:lvlText w:val="%8."/>
      <w:lvlJc w:val="left"/>
      <w:pPr>
        <w:ind w:left="6477" w:hanging="360"/>
      </w:pPr>
    </w:lvl>
    <w:lvl w:ilvl="8" w:tplc="02248804">
      <w:start w:val="1"/>
      <w:numFmt w:val="lowerRoman"/>
      <w:lvlText w:val="%9."/>
      <w:lvlJc w:val="right"/>
      <w:pPr>
        <w:ind w:left="7197" w:hanging="180"/>
      </w:pPr>
    </w:lvl>
  </w:abstractNum>
  <w:abstractNum w:abstractNumId="23" w15:restartNumberingAfterBreak="0">
    <w:nsid w:val="21F16287"/>
    <w:multiLevelType w:val="hybridMultilevel"/>
    <w:tmpl w:val="4BE8910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25543AA7"/>
    <w:multiLevelType w:val="hybridMultilevel"/>
    <w:tmpl w:val="CAD8516E"/>
    <w:lvl w:ilvl="0" w:tplc="7A7EAB80">
      <w:start w:val="1"/>
      <w:numFmt w:val="bullet"/>
      <w:lvlText w:val="•"/>
      <w:lvlJc w:val="left"/>
      <w:pPr>
        <w:tabs>
          <w:tab w:val="num" w:pos="720"/>
        </w:tabs>
        <w:ind w:left="720" w:hanging="360"/>
      </w:pPr>
      <w:rPr>
        <w:rFonts w:ascii="Arial" w:hAnsi="Arial" w:hint="default"/>
      </w:rPr>
    </w:lvl>
    <w:lvl w:ilvl="1" w:tplc="FB860DCC">
      <w:numFmt w:val="bullet"/>
      <w:lvlText w:val="•"/>
      <w:lvlJc w:val="left"/>
      <w:pPr>
        <w:tabs>
          <w:tab w:val="num" w:pos="1440"/>
        </w:tabs>
        <w:ind w:left="1440" w:hanging="360"/>
      </w:pPr>
      <w:rPr>
        <w:rFonts w:ascii="Arial" w:hAnsi="Arial" w:hint="default"/>
      </w:rPr>
    </w:lvl>
    <w:lvl w:ilvl="2" w:tplc="BB207550" w:tentative="1">
      <w:start w:val="1"/>
      <w:numFmt w:val="bullet"/>
      <w:lvlText w:val="•"/>
      <w:lvlJc w:val="left"/>
      <w:pPr>
        <w:tabs>
          <w:tab w:val="num" w:pos="2160"/>
        </w:tabs>
        <w:ind w:left="2160" w:hanging="360"/>
      </w:pPr>
      <w:rPr>
        <w:rFonts w:ascii="Arial" w:hAnsi="Arial" w:hint="default"/>
      </w:rPr>
    </w:lvl>
    <w:lvl w:ilvl="3" w:tplc="F398D97A" w:tentative="1">
      <w:start w:val="1"/>
      <w:numFmt w:val="bullet"/>
      <w:lvlText w:val="•"/>
      <w:lvlJc w:val="left"/>
      <w:pPr>
        <w:tabs>
          <w:tab w:val="num" w:pos="2880"/>
        </w:tabs>
        <w:ind w:left="2880" w:hanging="360"/>
      </w:pPr>
      <w:rPr>
        <w:rFonts w:ascii="Arial" w:hAnsi="Arial" w:hint="default"/>
      </w:rPr>
    </w:lvl>
    <w:lvl w:ilvl="4" w:tplc="D21C2062" w:tentative="1">
      <w:start w:val="1"/>
      <w:numFmt w:val="bullet"/>
      <w:lvlText w:val="•"/>
      <w:lvlJc w:val="left"/>
      <w:pPr>
        <w:tabs>
          <w:tab w:val="num" w:pos="3600"/>
        </w:tabs>
        <w:ind w:left="3600" w:hanging="360"/>
      </w:pPr>
      <w:rPr>
        <w:rFonts w:ascii="Arial" w:hAnsi="Arial" w:hint="default"/>
      </w:rPr>
    </w:lvl>
    <w:lvl w:ilvl="5" w:tplc="CA72F1AA" w:tentative="1">
      <w:start w:val="1"/>
      <w:numFmt w:val="bullet"/>
      <w:lvlText w:val="•"/>
      <w:lvlJc w:val="left"/>
      <w:pPr>
        <w:tabs>
          <w:tab w:val="num" w:pos="4320"/>
        </w:tabs>
        <w:ind w:left="4320" w:hanging="360"/>
      </w:pPr>
      <w:rPr>
        <w:rFonts w:ascii="Arial" w:hAnsi="Arial" w:hint="default"/>
      </w:rPr>
    </w:lvl>
    <w:lvl w:ilvl="6" w:tplc="BD1EDA4E" w:tentative="1">
      <w:start w:val="1"/>
      <w:numFmt w:val="bullet"/>
      <w:lvlText w:val="•"/>
      <w:lvlJc w:val="left"/>
      <w:pPr>
        <w:tabs>
          <w:tab w:val="num" w:pos="5040"/>
        </w:tabs>
        <w:ind w:left="5040" w:hanging="360"/>
      </w:pPr>
      <w:rPr>
        <w:rFonts w:ascii="Arial" w:hAnsi="Arial" w:hint="default"/>
      </w:rPr>
    </w:lvl>
    <w:lvl w:ilvl="7" w:tplc="8D882A0E" w:tentative="1">
      <w:start w:val="1"/>
      <w:numFmt w:val="bullet"/>
      <w:lvlText w:val="•"/>
      <w:lvlJc w:val="left"/>
      <w:pPr>
        <w:tabs>
          <w:tab w:val="num" w:pos="5760"/>
        </w:tabs>
        <w:ind w:left="5760" w:hanging="360"/>
      </w:pPr>
      <w:rPr>
        <w:rFonts w:ascii="Arial" w:hAnsi="Arial" w:hint="default"/>
      </w:rPr>
    </w:lvl>
    <w:lvl w:ilvl="8" w:tplc="B804118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2A46725D"/>
    <w:multiLevelType w:val="hybridMultilevel"/>
    <w:tmpl w:val="8826BC94"/>
    <w:lvl w:ilvl="0" w:tplc="806642C2">
      <w:numFmt w:val="bullet"/>
      <w:lvlText w:val="•"/>
      <w:lvlJc w:val="left"/>
      <w:pPr>
        <w:ind w:left="1275" w:hanging="360"/>
      </w:pPr>
      <w:rPr>
        <w:rFonts w:hint="default"/>
        <w:lang w:val="en-US" w:eastAsia="en-US" w:bidi="ar-SA"/>
      </w:rPr>
    </w:lvl>
    <w:lvl w:ilvl="1" w:tplc="1C090003" w:tentative="1">
      <w:start w:val="1"/>
      <w:numFmt w:val="bullet"/>
      <w:lvlText w:val="o"/>
      <w:lvlJc w:val="left"/>
      <w:pPr>
        <w:ind w:left="1995" w:hanging="360"/>
      </w:pPr>
      <w:rPr>
        <w:rFonts w:ascii="Courier New" w:hAnsi="Courier New" w:cs="Courier New" w:hint="default"/>
      </w:rPr>
    </w:lvl>
    <w:lvl w:ilvl="2" w:tplc="1C090005" w:tentative="1">
      <w:start w:val="1"/>
      <w:numFmt w:val="bullet"/>
      <w:lvlText w:val=""/>
      <w:lvlJc w:val="left"/>
      <w:pPr>
        <w:ind w:left="2715" w:hanging="360"/>
      </w:pPr>
      <w:rPr>
        <w:rFonts w:ascii="Wingdings" w:hAnsi="Wingdings" w:hint="default"/>
      </w:rPr>
    </w:lvl>
    <w:lvl w:ilvl="3" w:tplc="1C090001" w:tentative="1">
      <w:start w:val="1"/>
      <w:numFmt w:val="bullet"/>
      <w:lvlText w:val=""/>
      <w:lvlJc w:val="left"/>
      <w:pPr>
        <w:ind w:left="3435" w:hanging="360"/>
      </w:pPr>
      <w:rPr>
        <w:rFonts w:ascii="Symbol" w:hAnsi="Symbol" w:hint="default"/>
      </w:rPr>
    </w:lvl>
    <w:lvl w:ilvl="4" w:tplc="1C090003" w:tentative="1">
      <w:start w:val="1"/>
      <w:numFmt w:val="bullet"/>
      <w:lvlText w:val="o"/>
      <w:lvlJc w:val="left"/>
      <w:pPr>
        <w:ind w:left="4155" w:hanging="360"/>
      </w:pPr>
      <w:rPr>
        <w:rFonts w:ascii="Courier New" w:hAnsi="Courier New" w:cs="Courier New" w:hint="default"/>
      </w:rPr>
    </w:lvl>
    <w:lvl w:ilvl="5" w:tplc="1C090005" w:tentative="1">
      <w:start w:val="1"/>
      <w:numFmt w:val="bullet"/>
      <w:lvlText w:val=""/>
      <w:lvlJc w:val="left"/>
      <w:pPr>
        <w:ind w:left="4875" w:hanging="360"/>
      </w:pPr>
      <w:rPr>
        <w:rFonts w:ascii="Wingdings" w:hAnsi="Wingdings" w:hint="default"/>
      </w:rPr>
    </w:lvl>
    <w:lvl w:ilvl="6" w:tplc="1C090001" w:tentative="1">
      <w:start w:val="1"/>
      <w:numFmt w:val="bullet"/>
      <w:lvlText w:val=""/>
      <w:lvlJc w:val="left"/>
      <w:pPr>
        <w:ind w:left="5595" w:hanging="360"/>
      </w:pPr>
      <w:rPr>
        <w:rFonts w:ascii="Symbol" w:hAnsi="Symbol" w:hint="default"/>
      </w:rPr>
    </w:lvl>
    <w:lvl w:ilvl="7" w:tplc="1C090003" w:tentative="1">
      <w:start w:val="1"/>
      <w:numFmt w:val="bullet"/>
      <w:lvlText w:val="o"/>
      <w:lvlJc w:val="left"/>
      <w:pPr>
        <w:ind w:left="6315" w:hanging="360"/>
      </w:pPr>
      <w:rPr>
        <w:rFonts w:ascii="Courier New" w:hAnsi="Courier New" w:cs="Courier New" w:hint="default"/>
      </w:rPr>
    </w:lvl>
    <w:lvl w:ilvl="8" w:tplc="1C090005" w:tentative="1">
      <w:start w:val="1"/>
      <w:numFmt w:val="bullet"/>
      <w:lvlText w:val=""/>
      <w:lvlJc w:val="left"/>
      <w:pPr>
        <w:ind w:left="7035" w:hanging="360"/>
      </w:pPr>
      <w:rPr>
        <w:rFonts w:ascii="Wingdings" w:hAnsi="Wingdings" w:hint="default"/>
      </w:rPr>
    </w:lvl>
  </w:abstractNum>
  <w:abstractNum w:abstractNumId="26" w15:restartNumberingAfterBreak="0">
    <w:nsid w:val="2BE072FB"/>
    <w:multiLevelType w:val="hybridMultilevel"/>
    <w:tmpl w:val="CBD2C4CC"/>
    <w:lvl w:ilvl="0" w:tplc="67DCF958">
      <w:start w:val="1"/>
      <w:numFmt w:val="bullet"/>
      <w:lvlText w:val="•"/>
      <w:lvlJc w:val="left"/>
      <w:pPr>
        <w:tabs>
          <w:tab w:val="num" w:pos="720"/>
        </w:tabs>
        <w:ind w:left="720" w:hanging="360"/>
      </w:pPr>
      <w:rPr>
        <w:rFonts w:ascii="Arial" w:hAnsi="Arial" w:hint="default"/>
      </w:rPr>
    </w:lvl>
    <w:lvl w:ilvl="1" w:tplc="2E0CC7CC" w:tentative="1">
      <w:start w:val="1"/>
      <w:numFmt w:val="bullet"/>
      <w:lvlText w:val="•"/>
      <w:lvlJc w:val="left"/>
      <w:pPr>
        <w:tabs>
          <w:tab w:val="num" w:pos="1440"/>
        </w:tabs>
        <w:ind w:left="1440" w:hanging="360"/>
      </w:pPr>
      <w:rPr>
        <w:rFonts w:ascii="Arial" w:hAnsi="Arial" w:hint="default"/>
      </w:rPr>
    </w:lvl>
    <w:lvl w:ilvl="2" w:tplc="7A825C56" w:tentative="1">
      <w:start w:val="1"/>
      <w:numFmt w:val="bullet"/>
      <w:lvlText w:val="•"/>
      <w:lvlJc w:val="left"/>
      <w:pPr>
        <w:tabs>
          <w:tab w:val="num" w:pos="2160"/>
        </w:tabs>
        <w:ind w:left="2160" w:hanging="360"/>
      </w:pPr>
      <w:rPr>
        <w:rFonts w:ascii="Arial" w:hAnsi="Arial" w:hint="default"/>
      </w:rPr>
    </w:lvl>
    <w:lvl w:ilvl="3" w:tplc="DBAE30FE" w:tentative="1">
      <w:start w:val="1"/>
      <w:numFmt w:val="bullet"/>
      <w:lvlText w:val="•"/>
      <w:lvlJc w:val="left"/>
      <w:pPr>
        <w:tabs>
          <w:tab w:val="num" w:pos="2880"/>
        </w:tabs>
        <w:ind w:left="2880" w:hanging="360"/>
      </w:pPr>
      <w:rPr>
        <w:rFonts w:ascii="Arial" w:hAnsi="Arial" w:hint="default"/>
      </w:rPr>
    </w:lvl>
    <w:lvl w:ilvl="4" w:tplc="0486EB72" w:tentative="1">
      <w:start w:val="1"/>
      <w:numFmt w:val="bullet"/>
      <w:lvlText w:val="•"/>
      <w:lvlJc w:val="left"/>
      <w:pPr>
        <w:tabs>
          <w:tab w:val="num" w:pos="3600"/>
        </w:tabs>
        <w:ind w:left="3600" w:hanging="360"/>
      </w:pPr>
      <w:rPr>
        <w:rFonts w:ascii="Arial" w:hAnsi="Arial" w:hint="default"/>
      </w:rPr>
    </w:lvl>
    <w:lvl w:ilvl="5" w:tplc="1BD28AB8" w:tentative="1">
      <w:start w:val="1"/>
      <w:numFmt w:val="bullet"/>
      <w:lvlText w:val="•"/>
      <w:lvlJc w:val="left"/>
      <w:pPr>
        <w:tabs>
          <w:tab w:val="num" w:pos="4320"/>
        </w:tabs>
        <w:ind w:left="4320" w:hanging="360"/>
      </w:pPr>
      <w:rPr>
        <w:rFonts w:ascii="Arial" w:hAnsi="Arial" w:hint="default"/>
      </w:rPr>
    </w:lvl>
    <w:lvl w:ilvl="6" w:tplc="3AF2A05A" w:tentative="1">
      <w:start w:val="1"/>
      <w:numFmt w:val="bullet"/>
      <w:lvlText w:val="•"/>
      <w:lvlJc w:val="left"/>
      <w:pPr>
        <w:tabs>
          <w:tab w:val="num" w:pos="5040"/>
        </w:tabs>
        <w:ind w:left="5040" w:hanging="360"/>
      </w:pPr>
      <w:rPr>
        <w:rFonts w:ascii="Arial" w:hAnsi="Arial" w:hint="default"/>
      </w:rPr>
    </w:lvl>
    <w:lvl w:ilvl="7" w:tplc="4CA4A75A" w:tentative="1">
      <w:start w:val="1"/>
      <w:numFmt w:val="bullet"/>
      <w:lvlText w:val="•"/>
      <w:lvlJc w:val="left"/>
      <w:pPr>
        <w:tabs>
          <w:tab w:val="num" w:pos="5760"/>
        </w:tabs>
        <w:ind w:left="5760" w:hanging="360"/>
      </w:pPr>
      <w:rPr>
        <w:rFonts w:ascii="Arial" w:hAnsi="Arial" w:hint="default"/>
      </w:rPr>
    </w:lvl>
    <w:lvl w:ilvl="8" w:tplc="A1E2D38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2DC69D54"/>
    <w:multiLevelType w:val="hybridMultilevel"/>
    <w:tmpl w:val="DE24BA96"/>
    <w:lvl w:ilvl="0" w:tplc="A2702E56">
      <w:start w:val="1"/>
      <w:numFmt w:val="bullet"/>
      <w:lvlText w:val=""/>
      <w:lvlJc w:val="left"/>
      <w:pPr>
        <w:ind w:left="720" w:hanging="360"/>
      </w:pPr>
      <w:rPr>
        <w:rFonts w:ascii="Symbol" w:hAnsi="Symbol" w:hint="default"/>
      </w:rPr>
    </w:lvl>
    <w:lvl w:ilvl="1" w:tplc="0358C398">
      <w:start w:val="1"/>
      <w:numFmt w:val="bullet"/>
      <w:lvlText w:val="o"/>
      <w:lvlJc w:val="left"/>
      <w:pPr>
        <w:ind w:left="1440" w:hanging="360"/>
      </w:pPr>
      <w:rPr>
        <w:rFonts w:ascii="Courier New" w:hAnsi="Courier New" w:hint="default"/>
      </w:rPr>
    </w:lvl>
    <w:lvl w:ilvl="2" w:tplc="24FC6312">
      <w:start w:val="1"/>
      <w:numFmt w:val="bullet"/>
      <w:lvlText w:val=""/>
      <w:lvlJc w:val="left"/>
      <w:pPr>
        <w:ind w:left="2160" w:hanging="360"/>
      </w:pPr>
      <w:rPr>
        <w:rFonts w:ascii="Wingdings" w:hAnsi="Wingdings" w:hint="default"/>
      </w:rPr>
    </w:lvl>
    <w:lvl w:ilvl="3" w:tplc="231C373C">
      <w:start w:val="1"/>
      <w:numFmt w:val="bullet"/>
      <w:lvlText w:val=""/>
      <w:lvlJc w:val="left"/>
      <w:pPr>
        <w:ind w:left="2880" w:hanging="360"/>
      </w:pPr>
      <w:rPr>
        <w:rFonts w:ascii="Symbol" w:hAnsi="Symbol" w:hint="default"/>
      </w:rPr>
    </w:lvl>
    <w:lvl w:ilvl="4" w:tplc="4254F0A8">
      <w:start w:val="1"/>
      <w:numFmt w:val="bullet"/>
      <w:lvlText w:val="o"/>
      <w:lvlJc w:val="left"/>
      <w:pPr>
        <w:ind w:left="3600" w:hanging="360"/>
      </w:pPr>
      <w:rPr>
        <w:rFonts w:ascii="Courier New" w:hAnsi="Courier New" w:hint="default"/>
      </w:rPr>
    </w:lvl>
    <w:lvl w:ilvl="5" w:tplc="18C0EF66">
      <w:start w:val="1"/>
      <w:numFmt w:val="bullet"/>
      <w:lvlText w:val=""/>
      <w:lvlJc w:val="left"/>
      <w:pPr>
        <w:ind w:left="4320" w:hanging="360"/>
      </w:pPr>
      <w:rPr>
        <w:rFonts w:ascii="Wingdings" w:hAnsi="Wingdings" w:hint="default"/>
      </w:rPr>
    </w:lvl>
    <w:lvl w:ilvl="6" w:tplc="9B1032C0">
      <w:start w:val="1"/>
      <w:numFmt w:val="bullet"/>
      <w:lvlText w:val=""/>
      <w:lvlJc w:val="left"/>
      <w:pPr>
        <w:ind w:left="5040" w:hanging="360"/>
      </w:pPr>
      <w:rPr>
        <w:rFonts w:ascii="Symbol" w:hAnsi="Symbol" w:hint="default"/>
      </w:rPr>
    </w:lvl>
    <w:lvl w:ilvl="7" w:tplc="7CDA43E4">
      <w:start w:val="1"/>
      <w:numFmt w:val="bullet"/>
      <w:lvlText w:val="o"/>
      <w:lvlJc w:val="left"/>
      <w:pPr>
        <w:ind w:left="5760" w:hanging="360"/>
      </w:pPr>
      <w:rPr>
        <w:rFonts w:ascii="Courier New" w:hAnsi="Courier New" w:hint="default"/>
      </w:rPr>
    </w:lvl>
    <w:lvl w:ilvl="8" w:tplc="E66A10DC">
      <w:start w:val="1"/>
      <w:numFmt w:val="bullet"/>
      <w:lvlText w:val=""/>
      <w:lvlJc w:val="left"/>
      <w:pPr>
        <w:ind w:left="6480" w:hanging="360"/>
      </w:pPr>
      <w:rPr>
        <w:rFonts w:ascii="Wingdings" w:hAnsi="Wingdings" w:hint="default"/>
      </w:rPr>
    </w:lvl>
  </w:abstractNum>
  <w:abstractNum w:abstractNumId="28" w15:restartNumberingAfterBreak="0">
    <w:nsid w:val="2ECD7C05"/>
    <w:multiLevelType w:val="hybridMultilevel"/>
    <w:tmpl w:val="09AE97D8"/>
    <w:lvl w:ilvl="0" w:tplc="E24C2262">
      <w:numFmt w:val="none"/>
      <w:lvlText w:val=""/>
      <w:lvlJc w:val="left"/>
      <w:pPr>
        <w:tabs>
          <w:tab w:val="num" w:pos="360"/>
        </w:tabs>
      </w:pPr>
    </w:lvl>
    <w:lvl w:ilvl="1" w:tplc="968AB572">
      <w:start w:val="1"/>
      <w:numFmt w:val="lowerLetter"/>
      <w:lvlText w:val="%2."/>
      <w:lvlJc w:val="left"/>
      <w:pPr>
        <w:ind w:left="1440" w:hanging="360"/>
      </w:pPr>
    </w:lvl>
    <w:lvl w:ilvl="2" w:tplc="70784E1C">
      <w:start w:val="1"/>
      <w:numFmt w:val="lowerRoman"/>
      <w:lvlText w:val="%3."/>
      <w:lvlJc w:val="right"/>
      <w:pPr>
        <w:ind w:left="2160" w:hanging="180"/>
      </w:pPr>
    </w:lvl>
    <w:lvl w:ilvl="3" w:tplc="E7B0EDE8">
      <w:start w:val="1"/>
      <w:numFmt w:val="decimal"/>
      <w:lvlText w:val="%4."/>
      <w:lvlJc w:val="left"/>
      <w:pPr>
        <w:ind w:left="2880" w:hanging="360"/>
      </w:pPr>
    </w:lvl>
    <w:lvl w:ilvl="4" w:tplc="6C929EE2">
      <w:start w:val="1"/>
      <w:numFmt w:val="lowerLetter"/>
      <w:lvlText w:val="%5."/>
      <w:lvlJc w:val="left"/>
      <w:pPr>
        <w:ind w:left="3600" w:hanging="360"/>
      </w:pPr>
    </w:lvl>
    <w:lvl w:ilvl="5" w:tplc="C2D4BE56">
      <w:start w:val="1"/>
      <w:numFmt w:val="lowerRoman"/>
      <w:lvlText w:val="%6."/>
      <w:lvlJc w:val="right"/>
      <w:pPr>
        <w:ind w:left="4320" w:hanging="180"/>
      </w:pPr>
    </w:lvl>
    <w:lvl w:ilvl="6" w:tplc="7E5614E0">
      <w:start w:val="1"/>
      <w:numFmt w:val="decimal"/>
      <w:lvlText w:val="%7."/>
      <w:lvlJc w:val="left"/>
      <w:pPr>
        <w:ind w:left="5040" w:hanging="360"/>
      </w:pPr>
    </w:lvl>
    <w:lvl w:ilvl="7" w:tplc="5106B1D0">
      <w:start w:val="1"/>
      <w:numFmt w:val="lowerLetter"/>
      <w:lvlText w:val="%8."/>
      <w:lvlJc w:val="left"/>
      <w:pPr>
        <w:ind w:left="5760" w:hanging="360"/>
      </w:pPr>
    </w:lvl>
    <w:lvl w:ilvl="8" w:tplc="22F2E9BE">
      <w:start w:val="1"/>
      <w:numFmt w:val="lowerRoman"/>
      <w:lvlText w:val="%9."/>
      <w:lvlJc w:val="right"/>
      <w:pPr>
        <w:ind w:left="6480" w:hanging="180"/>
      </w:pPr>
    </w:lvl>
  </w:abstractNum>
  <w:abstractNum w:abstractNumId="29" w15:restartNumberingAfterBreak="0">
    <w:nsid w:val="30C0B49D"/>
    <w:multiLevelType w:val="hybridMultilevel"/>
    <w:tmpl w:val="442E1EAC"/>
    <w:lvl w:ilvl="0" w:tplc="19F63B1C">
      <w:start w:val="1"/>
      <w:numFmt w:val="lowerLetter"/>
      <w:lvlText w:val="%1."/>
      <w:lvlJc w:val="left"/>
      <w:pPr>
        <w:ind w:left="852" w:hanging="360"/>
      </w:pPr>
    </w:lvl>
    <w:lvl w:ilvl="1" w:tplc="2134226C">
      <w:start w:val="1"/>
      <w:numFmt w:val="lowerLetter"/>
      <w:lvlText w:val="%2."/>
      <w:lvlJc w:val="left"/>
      <w:pPr>
        <w:ind w:left="1572" w:hanging="360"/>
      </w:pPr>
    </w:lvl>
    <w:lvl w:ilvl="2" w:tplc="11C65750">
      <w:start w:val="1"/>
      <w:numFmt w:val="lowerRoman"/>
      <w:lvlText w:val="%3."/>
      <w:lvlJc w:val="right"/>
      <w:pPr>
        <w:ind w:left="2292" w:hanging="180"/>
      </w:pPr>
    </w:lvl>
    <w:lvl w:ilvl="3" w:tplc="ED8EF66C">
      <w:start w:val="1"/>
      <w:numFmt w:val="decimal"/>
      <w:lvlText w:val="%4."/>
      <w:lvlJc w:val="left"/>
      <w:pPr>
        <w:ind w:left="3012" w:hanging="360"/>
      </w:pPr>
    </w:lvl>
    <w:lvl w:ilvl="4" w:tplc="25EA0894">
      <w:start w:val="1"/>
      <w:numFmt w:val="lowerLetter"/>
      <w:lvlText w:val="%5."/>
      <w:lvlJc w:val="left"/>
      <w:pPr>
        <w:ind w:left="3732" w:hanging="360"/>
      </w:pPr>
    </w:lvl>
    <w:lvl w:ilvl="5" w:tplc="811C7828">
      <w:start w:val="1"/>
      <w:numFmt w:val="lowerRoman"/>
      <w:lvlText w:val="%6."/>
      <w:lvlJc w:val="right"/>
      <w:pPr>
        <w:ind w:left="4452" w:hanging="180"/>
      </w:pPr>
    </w:lvl>
    <w:lvl w:ilvl="6" w:tplc="3ABA4C66">
      <w:start w:val="1"/>
      <w:numFmt w:val="decimal"/>
      <w:lvlText w:val="%7."/>
      <w:lvlJc w:val="left"/>
      <w:pPr>
        <w:ind w:left="5172" w:hanging="360"/>
      </w:pPr>
    </w:lvl>
    <w:lvl w:ilvl="7" w:tplc="3C9452EC">
      <w:start w:val="1"/>
      <w:numFmt w:val="lowerLetter"/>
      <w:lvlText w:val="%8."/>
      <w:lvlJc w:val="left"/>
      <w:pPr>
        <w:ind w:left="5892" w:hanging="360"/>
      </w:pPr>
    </w:lvl>
    <w:lvl w:ilvl="8" w:tplc="B5620E74">
      <w:start w:val="1"/>
      <w:numFmt w:val="lowerRoman"/>
      <w:lvlText w:val="%9."/>
      <w:lvlJc w:val="right"/>
      <w:pPr>
        <w:ind w:left="6612" w:hanging="180"/>
      </w:pPr>
    </w:lvl>
  </w:abstractNum>
  <w:abstractNum w:abstractNumId="30" w15:restartNumberingAfterBreak="0">
    <w:nsid w:val="332E864B"/>
    <w:multiLevelType w:val="hybridMultilevel"/>
    <w:tmpl w:val="EDC8D138"/>
    <w:lvl w:ilvl="0" w:tplc="109E0154">
      <w:numFmt w:val="none"/>
      <w:lvlText w:val=""/>
      <w:lvlJc w:val="left"/>
      <w:pPr>
        <w:tabs>
          <w:tab w:val="num" w:pos="360"/>
        </w:tabs>
      </w:pPr>
    </w:lvl>
    <w:lvl w:ilvl="1" w:tplc="436AAC60">
      <w:start w:val="1"/>
      <w:numFmt w:val="lowerLetter"/>
      <w:lvlText w:val="%2."/>
      <w:lvlJc w:val="left"/>
      <w:pPr>
        <w:ind w:left="1800" w:hanging="360"/>
      </w:pPr>
    </w:lvl>
    <w:lvl w:ilvl="2" w:tplc="75965D28">
      <w:start w:val="1"/>
      <w:numFmt w:val="lowerRoman"/>
      <w:lvlText w:val="%3."/>
      <w:lvlJc w:val="right"/>
      <w:pPr>
        <w:ind w:left="2520" w:hanging="180"/>
      </w:pPr>
    </w:lvl>
    <w:lvl w:ilvl="3" w:tplc="60647B3E">
      <w:start w:val="1"/>
      <w:numFmt w:val="decimal"/>
      <w:lvlText w:val="%4."/>
      <w:lvlJc w:val="left"/>
      <w:pPr>
        <w:ind w:left="3240" w:hanging="360"/>
      </w:pPr>
    </w:lvl>
    <w:lvl w:ilvl="4" w:tplc="8B8AD3C4">
      <w:start w:val="1"/>
      <w:numFmt w:val="lowerLetter"/>
      <w:lvlText w:val="%5."/>
      <w:lvlJc w:val="left"/>
      <w:pPr>
        <w:ind w:left="3960" w:hanging="360"/>
      </w:pPr>
    </w:lvl>
    <w:lvl w:ilvl="5" w:tplc="C248C600">
      <w:start w:val="1"/>
      <w:numFmt w:val="lowerRoman"/>
      <w:lvlText w:val="%6."/>
      <w:lvlJc w:val="right"/>
      <w:pPr>
        <w:ind w:left="4680" w:hanging="180"/>
      </w:pPr>
    </w:lvl>
    <w:lvl w:ilvl="6" w:tplc="9C2E0146">
      <w:start w:val="1"/>
      <w:numFmt w:val="decimal"/>
      <w:lvlText w:val="%7."/>
      <w:lvlJc w:val="left"/>
      <w:pPr>
        <w:ind w:left="5400" w:hanging="360"/>
      </w:pPr>
    </w:lvl>
    <w:lvl w:ilvl="7" w:tplc="23B08182">
      <w:start w:val="1"/>
      <w:numFmt w:val="lowerLetter"/>
      <w:lvlText w:val="%8."/>
      <w:lvlJc w:val="left"/>
      <w:pPr>
        <w:ind w:left="6120" w:hanging="360"/>
      </w:pPr>
    </w:lvl>
    <w:lvl w:ilvl="8" w:tplc="B7E8B3BE">
      <w:start w:val="1"/>
      <w:numFmt w:val="lowerRoman"/>
      <w:lvlText w:val="%9."/>
      <w:lvlJc w:val="right"/>
      <w:pPr>
        <w:ind w:left="6840" w:hanging="180"/>
      </w:pPr>
    </w:lvl>
  </w:abstractNum>
  <w:abstractNum w:abstractNumId="31" w15:restartNumberingAfterBreak="0">
    <w:nsid w:val="34227470"/>
    <w:multiLevelType w:val="hybridMultilevel"/>
    <w:tmpl w:val="D3D65618"/>
    <w:lvl w:ilvl="0" w:tplc="49248034">
      <w:start w:val="1"/>
      <w:numFmt w:val="bullet"/>
      <w:lvlText w:val=""/>
      <w:lvlJc w:val="left"/>
      <w:pPr>
        <w:ind w:left="720" w:hanging="360"/>
      </w:pPr>
      <w:rPr>
        <w:rFonts w:ascii="Symbol" w:hAnsi="Symbol" w:hint="default"/>
      </w:rPr>
    </w:lvl>
    <w:lvl w:ilvl="1" w:tplc="EDC2D166">
      <w:start w:val="1"/>
      <w:numFmt w:val="bullet"/>
      <w:lvlText w:val="o"/>
      <w:lvlJc w:val="left"/>
      <w:pPr>
        <w:ind w:left="1440" w:hanging="360"/>
      </w:pPr>
      <w:rPr>
        <w:rFonts w:ascii="Courier New" w:hAnsi="Courier New" w:hint="default"/>
      </w:rPr>
    </w:lvl>
    <w:lvl w:ilvl="2" w:tplc="B26431C0">
      <w:start w:val="1"/>
      <w:numFmt w:val="bullet"/>
      <w:lvlText w:val=""/>
      <w:lvlJc w:val="left"/>
      <w:pPr>
        <w:ind w:left="2160" w:hanging="360"/>
      </w:pPr>
      <w:rPr>
        <w:rFonts w:ascii="Wingdings" w:hAnsi="Wingdings" w:hint="default"/>
      </w:rPr>
    </w:lvl>
    <w:lvl w:ilvl="3" w:tplc="020E1156">
      <w:start w:val="1"/>
      <w:numFmt w:val="bullet"/>
      <w:lvlText w:val=""/>
      <w:lvlJc w:val="left"/>
      <w:pPr>
        <w:ind w:left="2880" w:hanging="360"/>
      </w:pPr>
      <w:rPr>
        <w:rFonts w:ascii="Symbol" w:hAnsi="Symbol" w:hint="default"/>
      </w:rPr>
    </w:lvl>
    <w:lvl w:ilvl="4" w:tplc="550E8BC4">
      <w:start w:val="1"/>
      <w:numFmt w:val="bullet"/>
      <w:lvlText w:val="o"/>
      <w:lvlJc w:val="left"/>
      <w:pPr>
        <w:ind w:left="3600" w:hanging="360"/>
      </w:pPr>
      <w:rPr>
        <w:rFonts w:ascii="Courier New" w:hAnsi="Courier New" w:hint="default"/>
      </w:rPr>
    </w:lvl>
    <w:lvl w:ilvl="5" w:tplc="518E4ED4">
      <w:start w:val="1"/>
      <w:numFmt w:val="bullet"/>
      <w:lvlText w:val=""/>
      <w:lvlJc w:val="left"/>
      <w:pPr>
        <w:ind w:left="4320" w:hanging="360"/>
      </w:pPr>
      <w:rPr>
        <w:rFonts w:ascii="Wingdings" w:hAnsi="Wingdings" w:hint="default"/>
      </w:rPr>
    </w:lvl>
    <w:lvl w:ilvl="6" w:tplc="80A47888">
      <w:start w:val="1"/>
      <w:numFmt w:val="bullet"/>
      <w:lvlText w:val=""/>
      <w:lvlJc w:val="left"/>
      <w:pPr>
        <w:ind w:left="5040" w:hanging="360"/>
      </w:pPr>
      <w:rPr>
        <w:rFonts w:ascii="Symbol" w:hAnsi="Symbol" w:hint="default"/>
      </w:rPr>
    </w:lvl>
    <w:lvl w:ilvl="7" w:tplc="957C445C">
      <w:start w:val="1"/>
      <w:numFmt w:val="bullet"/>
      <w:lvlText w:val="o"/>
      <w:lvlJc w:val="left"/>
      <w:pPr>
        <w:ind w:left="5760" w:hanging="360"/>
      </w:pPr>
      <w:rPr>
        <w:rFonts w:ascii="Courier New" w:hAnsi="Courier New" w:hint="default"/>
      </w:rPr>
    </w:lvl>
    <w:lvl w:ilvl="8" w:tplc="FD4A8B8A">
      <w:start w:val="1"/>
      <w:numFmt w:val="bullet"/>
      <w:lvlText w:val=""/>
      <w:lvlJc w:val="left"/>
      <w:pPr>
        <w:ind w:left="6480" w:hanging="360"/>
      </w:pPr>
      <w:rPr>
        <w:rFonts w:ascii="Wingdings" w:hAnsi="Wingdings" w:hint="default"/>
      </w:rPr>
    </w:lvl>
  </w:abstractNum>
  <w:abstractNum w:abstractNumId="32" w15:restartNumberingAfterBreak="0">
    <w:nsid w:val="3678F632"/>
    <w:multiLevelType w:val="multilevel"/>
    <w:tmpl w:val="FFFFFFFF"/>
    <w:lvl w:ilvl="0">
      <w:numFmt w:val="none"/>
      <w:lvlText w:val=""/>
      <w:lvlJc w:val="left"/>
      <w:pPr>
        <w:tabs>
          <w:tab w:val="num" w:pos="360"/>
        </w:tabs>
      </w:pPr>
    </w:lvl>
    <w:lvl w:ilvl="1">
      <w:start w:val="1"/>
      <w:numFmt w:val="lowerLetter"/>
      <w:lvlText w:val="%2."/>
      <w:lvlJc w:val="left"/>
      <w:pPr>
        <w:ind w:left="1700" w:hanging="360"/>
      </w:pPr>
    </w:lvl>
    <w:lvl w:ilvl="2">
      <w:start w:val="1"/>
      <w:numFmt w:val="lowerRoman"/>
      <w:lvlText w:val="%3."/>
      <w:lvlJc w:val="right"/>
      <w:pPr>
        <w:ind w:left="2420" w:hanging="180"/>
      </w:pPr>
    </w:lvl>
    <w:lvl w:ilvl="3">
      <w:start w:val="1"/>
      <w:numFmt w:val="decimal"/>
      <w:lvlText w:val="%4."/>
      <w:lvlJc w:val="left"/>
      <w:pPr>
        <w:ind w:left="3140" w:hanging="360"/>
      </w:pPr>
    </w:lvl>
    <w:lvl w:ilvl="4">
      <w:start w:val="1"/>
      <w:numFmt w:val="lowerLetter"/>
      <w:lvlText w:val="%5."/>
      <w:lvlJc w:val="left"/>
      <w:pPr>
        <w:ind w:left="3860" w:hanging="360"/>
      </w:pPr>
    </w:lvl>
    <w:lvl w:ilvl="5">
      <w:start w:val="1"/>
      <w:numFmt w:val="lowerRoman"/>
      <w:lvlText w:val="%6."/>
      <w:lvlJc w:val="right"/>
      <w:pPr>
        <w:ind w:left="4580" w:hanging="180"/>
      </w:pPr>
    </w:lvl>
    <w:lvl w:ilvl="6">
      <w:start w:val="1"/>
      <w:numFmt w:val="decimal"/>
      <w:lvlText w:val="%7."/>
      <w:lvlJc w:val="left"/>
      <w:pPr>
        <w:ind w:left="5300" w:hanging="360"/>
      </w:pPr>
    </w:lvl>
    <w:lvl w:ilvl="7">
      <w:start w:val="1"/>
      <w:numFmt w:val="lowerLetter"/>
      <w:lvlText w:val="%8."/>
      <w:lvlJc w:val="left"/>
      <w:pPr>
        <w:ind w:left="6020" w:hanging="360"/>
      </w:pPr>
    </w:lvl>
    <w:lvl w:ilvl="8">
      <w:start w:val="1"/>
      <w:numFmt w:val="lowerRoman"/>
      <w:lvlText w:val="%9."/>
      <w:lvlJc w:val="right"/>
      <w:pPr>
        <w:ind w:left="6740" w:hanging="180"/>
      </w:pPr>
    </w:lvl>
  </w:abstractNum>
  <w:abstractNum w:abstractNumId="33" w15:restartNumberingAfterBreak="0">
    <w:nsid w:val="3B7012F7"/>
    <w:multiLevelType w:val="multilevel"/>
    <w:tmpl w:val="3EDA8BBC"/>
    <w:lvl w:ilvl="0">
      <w:start w:val="1"/>
      <w:numFmt w:val="decimal"/>
      <w:lvlText w:val="%1."/>
      <w:lvlJc w:val="left"/>
      <w:pPr>
        <w:ind w:left="974" w:hanging="360"/>
      </w:pPr>
    </w:lvl>
    <w:lvl w:ilvl="1">
      <w:start w:val="1"/>
      <w:numFmt w:val="decimal"/>
      <w:lvlText w:val="%1.%2."/>
      <w:lvlJc w:val="left"/>
      <w:pPr>
        <w:ind w:left="1694" w:hanging="360"/>
      </w:pPr>
    </w:lvl>
    <w:lvl w:ilvl="2">
      <w:start w:val="1"/>
      <w:numFmt w:val="decimal"/>
      <w:lvlText w:val="%1.%2.%3."/>
      <w:lvlJc w:val="left"/>
      <w:pPr>
        <w:ind w:left="2414" w:hanging="180"/>
      </w:pPr>
    </w:lvl>
    <w:lvl w:ilvl="3">
      <w:start w:val="1"/>
      <w:numFmt w:val="decimal"/>
      <w:lvlText w:val="%1.%2.%3.%4."/>
      <w:lvlJc w:val="left"/>
      <w:pPr>
        <w:ind w:left="3134" w:hanging="360"/>
      </w:pPr>
    </w:lvl>
    <w:lvl w:ilvl="4">
      <w:start w:val="1"/>
      <w:numFmt w:val="decimal"/>
      <w:lvlText w:val="%1.%2.%3.%4.%5."/>
      <w:lvlJc w:val="left"/>
      <w:pPr>
        <w:ind w:left="3854" w:hanging="360"/>
      </w:pPr>
    </w:lvl>
    <w:lvl w:ilvl="5">
      <w:start w:val="1"/>
      <w:numFmt w:val="decimal"/>
      <w:lvlText w:val="%1.%2.%3.%4.%5.%6."/>
      <w:lvlJc w:val="left"/>
      <w:pPr>
        <w:ind w:left="4574" w:hanging="180"/>
      </w:pPr>
    </w:lvl>
    <w:lvl w:ilvl="6">
      <w:start w:val="1"/>
      <w:numFmt w:val="decimal"/>
      <w:lvlText w:val="%1.%2.%3.%4.%5.%6.%7."/>
      <w:lvlJc w:val="left"/>
      <w:pPr>
        <w:ind w:left="5294" w:hanging="360"/>
      </w:pPr>
    </w:lvl>
    <w:lvl w:ilvl="7">
      <w:start w:val="1"/>
      <w:numFmt w:val="decimal"/>
      <w:lvlText w:val="%1.%2.%3.%4.%5.%6.%7.%8."/>
      <w:lvlJc w:val="left"/>
      <w:pPr>
        <w:ind w:left="6014" w:hanging="360"/>
      </w:pPr>
    </w:lvl>
    <w:lvl w:ilvl="8">
      <w:start w:val="1"/>
      <w:numFmt w:val="decimal"/>
      <w:lvlText w:val="%1.%2.%3.%4.%5.%6.%7.%8.%9."/>
      <w:lvlJc w:val="left"/>
      <w:pPr>
        <w:ind w:left="6734" w:hanging="180"/>
      </w:pPr>
    </w:lvl>
  </w:abstractNum>
  <w:abstractNum w:abstractNumId="34" w15:restartNumberingAfterBreak="0">
    <w:nsid w:val="405E213C"/>
    <w:multiLevelType w:val="multilevel"/>
    <w:tmpl w:val="51AC87BE"/>
    <w:lvl w:ilvl="0">
      <w:start w:val="1"/>
      <w:numFmt w:val="decimal"/>
      <w:lvlText w:val="%1."/>
      <w:lvlJc w:val="left"/>
      <w:pPr>
        <w:ind w:left="579" w:hanging="339"/>
      </w:pPr>
      <w:rPr>
        <w:rFonts w:ascii="Arial" w:hAnsi="Arial" w:hint="default"/>
        <w:b/>
        <w:bCs/>
        <w:spacing w:val="-2"/>
        <w:w w:val="99"/>
        <w:sz w:val="21"/>
        <w:szCs w:val="21"/>
        <w:lang w:val="en-US" w:eastAsia="en-US" w:bidi="ar-SA"/>
      </w:rPr>
    </w:lvl>
    <w:lvl w:ilvl="1">
      <w:start w:val="1"/>
      <w:numFmt w:val="decimal"/>
      <w:lvlText w:val="%1.%2."/>
      <w:lvlJc w:val="left"/>
      <w:pPr>
        <w:ind w:left="960" w:hanging="406"/>
      </w:pPr>
      <w:rPr>
        <w:rFonts w:ascii="Arial" w:hAnsi="Arial" w:hint="default"/>
        <w:b/>
        <w:bCs/>
        <w:spacing w:val="-2"/>
        <w:w w:val="99"/>
        <w:sz w:val="21"/>
        <w:szCs w:val="21"/>
        <w:lang w:val="en-US" w:eastAsia="en-US" w:bidi="ar-SA"/>
      </w:rPr>
    </w:lvl>
    <w:lvl w:ilvl="2">
      <w:numFmt w:val="bullet"/>
      <w:lvlText w:val="•"/>
      <w:lvlJc w:val="left"/>
      <w:pPr>
        <w:ind w:left="1880" w:hanging="406"/>
      </w:pPr>
      <w:rPr>
        <w:rFonts w:hint="default"/>
        <w:lang w:val="en-US" w:eastAsia="en-US" w:bidi="ar-SA"/>
      </w:rPr>
    </w:lvl>
    <w:lvl w:ilvl="3">
      <w:numFmt w:val="bullet"/>
      <w:lvlText w:val="•"/>
      <w:lvlJc w:val="left"/>
      <w:pPr>
        <w:ind w:left="2745" w:hanging="406"/>
      </w:pPr>
      <w:rPr>
        <w:rFonts w:hint="default"/>
        <w:lang w:val="en-US" w:eastAsia="en-US" w:bidi="ar-SA"/>
      </w:rPr>
    </w:lvl>
    <w:lvl w:ilvl="4">
      <w:numFmt w:val="bullet"/>
      <w:lvlText w:val="•"/>
      <w:lvlJc w:val="left"/>
      <w:pPr>
        <w:ind w:left="3610" w:hanging="406"/>
      </w:pPr>
      <w:rPr>
        <w:rFonts w:hint="default"/>
        <w:lang w:val="en-US" w:eastAsia="en-US" w:bidi="ar-SA"/>
      </w:rPr>
    </w:lvl>
    <w:lvl w:ilvl="5">
      <w:numFmt w:val="bullet"/>
      <w:lvlText w:val="•"/>
      <w:lvlJc w:val="left"/>
      <w:pPr>
        <w:ind w:left="4475" w:hanging="406"/>
      </w:pPr>
      <w:rPr>
        <w:rFonts w:hint="default"/>
        <w:lang w:val="en-US" w:eastAsia="en-US" w:bidi="ar-SA"/>
      </w:rPr>
    </w:lvl>
    <w:lvl w:ilvl="6">
      <w:numFmt w:val="bullet"/>
      <w:lvlText w:val="•"/>
      <w:lvlJc w:val="left"/>
      <w:pPr>
        <w:ind w:left="5340" w:hanging="406"/>
      </w:pPr>
      <w:rPr>
        <w:rFonts w:hint="default"/>
        <w:lang w:val="en-US" w:eastAsia="en-US" w:bidi="ar-SA"/>
      </w:rPr>
    </w:lvl>
    <w:lvl w:ilvl="7">
      <w:numFmt w:val="bullet"/>
      <w:lvlText w:val="•"/>
      <w:lvlJc w:val="left"/>
      <w:pPr>
        <w:ind w:left="6205" w:hanging="406"/>
      </w:pPr>
      <w:rPr>
        <w:rFonts w:hint="default"/>
        <w:lang w:val="en-US" w:eastAsia="en-US" w:bidi="ar-SA"/>
      </w:rPr>
    </w:lvl>
    <w:lvl w:ilvl="8">
      <w:numFmt w:val="bullet"/>
      <w:lvlText w:val="•"/>
      <w:lvlJc w:val="left"/>
      <w:pPr>
        <w:ind w:left="7070" w:hanging="406"/>
      </w:pPr>
      <w:rPr>
        <w:rFonts w:hint="default"/>
        <w:lang w:val="en-US" w:eastAsia="en-US" w:bidi="ar-SA"/>
      </w:rPr>
    </w:lvl>
  </w:abstractNum>
  <w:abstractNum w:abstractNumId="35" w15:restartNumberingAfterBreak="0">
    <w:nsid w:val="40E3D2EA"/>
    <w:multiLevelType w:val="hybridMultilevel"/>
    <w:tmpl w:val="FFFFFFFF"/>
    <w:lvl w:ilvl="0" w:tplc="D22A5434">
      <w:start w:val="1"/>
      <w:numFmt w:val="lowerLetter"/>
      <w:lvlText w:val="%1."/>
      <w:lvlJc w:val="left"/>
      <w:pPr>
        <w:ind w:left="852" w:hanging="360"/>
      </w:pPr>
    </w:lvl>
    <w:lvl w:ilvl="1" w:tplc="AD46C9B8">
      <w:start w:val="1"/>
      <w:numFmt w:val="lowerLetter"/>
      <w:lvlText w:val="%2."/>
      <w:lvlJc w:val="left"/>
      <w:pPr>
        <w:ind w:left="1572" w:hanging="360"/>
      </w:pPr>
    </w:lvl>
    <w:lvl w:ilvl="2" w:tplc="548AB23E">
      <w:start w:val="1"/>
      <w:numFmt w:val="lowerRoman"/>
      <w:lvlText w:val="%3."/>
      <w:lvlJc w:val="right"/>
      <w:pPr>
        <w:ind w:left="2292" w:hanging="180"/>
      </w:pPr>
    </w:lvl>
    <w:lvl w:ilvl="3" w:tplc="77649FDA">
      <w:start w:val="1"/>
      <w:numFmt w:val="decimal"/>
      <w:lvlText w:val="%4."/>
      <w:lvlJc w:val="left"/>
      <w:pPr>
        <w:ind w:left="3012" w:hanging="360"/>
      </w:pPr>
    </w:lvl>
    <w:lvl w:ilvl="4" w:tplc="F8927D42">
      <w:start w:val="1"/>
      <w:numFmt w:val="lowerLetter"/>
      <w:lvlText w:val="%5."/>
      <w:lvlJc w:val="left"/>
      <w:pPr>
        <w:ind w:left="3732" w:hanging="360"/>
      </w:pPr>
    </w:lvl>
    <w:lvl w:ilvl="5" w:tplc="ACD02FEE">
      <w:start w:val="1"/>
      <w:numFmt w:val="lowerRoman"/>
      <w:lvlText w:val="%6."/>
      <w:lvlJc w:val="right"/>
      <w:pPr>
        <w:ind w:left="4452" w:hanging="180"/>
      </w:pPr>
    </w:lvl>
    <w:lvl w:ilvl="6" w:tplc="3FEA4052">
      <w:start w:val="1"/>
      <w:numFmt w:val="decimal"/>
      <w:lvlText w:val="%7."/>
      <w:lvlJc w:val="left"/>
      <w:pPr>
        <w:ind w:left="5172" w:hanging="360"/>
      </w:pPr>
    </w:lvl>
    <w:lvl w:ilvl="7" w:tplc="1CCAC5A8">
      <w:start w:val="1"/>
      <w:numFmt w:val="lowerLetter"/>
      <w:lvlText w:val="%8."/>
      <w:lvlJc w:val="left"/>
      <w:pPr>
        <w:ind w:left="5892" w:hanging="360"/>
      </w:pPr>
    </w:lvl>
    <w:lvl w:ilvl="8" w:tplc="4A586EC6">
      <w:start w:val="1"/>
      <w:numFmt w:val="lowerRoman"/>
      <w:lvlText w:val="%9."/>
      <w:lvlJc w:val="right"/>
      <w:pPr>
        <w:ind w:left="6612" w:hanging="180"/>
      </w:pPr>
    </w:lvl>
  </w:abstractNum>
  <w:abstractNum w:abstractNumId="36" w15:restartNumberingAfterBreak="0">
    <w:nsid w:val="41D12B43"/>
    <w:multiLevelType w:val="hybridMultilevel"/>
    <w:tmpl w:val="B3EAA920"/>
    <w:lvl w:ilvl="0" w:tplc="04090019">
      <w:start w:val="1"/>
      <w:numFmt w:val="lowerLetter"/>
      <w:lvlText w:val="%1."/>
      <w:lvlJc w:val="left"/>
      <w:pPr>
        <w:ind w:left="1212" w:hanging="360"/>
      </w:p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37" w15:restartNumberingAfterBreak="0">
    <w:nsid w:val="455801FE"/>
    <w:multiLevelType w:val="multilevel"/>
    <w:tmpl w:val="1CAC6740"/>
    <w:lvl w:ilvl="0">
      <w:start w:val="12"/>
      <w:numFmt w:val="decimal"/>
      <w:lvlText w:val="%1"/>
      <w:lvlJc w:val="left"/>
      <w:pPr>
        <w:ind w:left="960" w:hanging="956"/>
      </w:pPr>
      <w:rPr>
        <w:rFonts w:hint="default"/>
        <w:lang w:val="en-US" w:eastAsia="en-US" w:bidi="ar-SA"/>
      </w:rPr>
    </w:lvl>
    <w:lvl w:ilvl="1">
      <w:start w:val="2"/>
      <w:numFmt w:val="decimal"/>
      <w:lvlText w:val="%1.%2."/>
      <w:lvlJc w:val="left"/>
      <w:pPr>
        <w:ind w:left="960" w:hanging="956"/>
      </w:pPr>
      <w:rPr>
        <w:rFonts w:ascii="Arial" w:eastAsia="Arial" w:hAnsi="Arial" w:cs="Arial" w:hint="default"/>
        <w:b/>
        <w:bCs/>
        <w:spacing w:val="-2"/>
        <w:w w:val="99"/>
        <w:sz w:val="21"/>
        <w:szCs w:val="21"/>
        <w:lang w:val="en-US" w:eastAsia="en-US" w:bidi="ar-SA"/>
      </w:rPr>
    </w:lvl>
    <w:lvl w:ilvl="2">
      <w:start w:val="1"/>
      <w:numFmt w:val="decimal"/>
      <w:lvlText w:val="%1.%2.%3."/>
      <w:lvlJc w:val="left"/>
      <w:pPr>
        <w:ind w:left="2186" w:hanging="1185"/>
      </w:pPr>
      <w:rPr>
        <w:rFonts w:ascii="Arial" w:eastAsia="Arial" w:hAnsi="Arial" w:cs="Arial" w:hint="default"/>
        <w:b/>
        <w:bCs/>
        <w:spacing w:val="-4"/>
        <w:w w:val="99"/>
        <w:sz w:val="21"/>
        <w:szCs w:val="21"/>
        <w:lang w:val="en-US" w:eastAsia="en-US" w:bidi="ar-SA"/>
      </w:rPr>
    </w:lvl>
    <w:lvl w:ilvl="3">
      <w:numFmt w:val="bullet"/>
      <w:lvlText w:val="•"/>
      <w:lvlJc w:val="left"/>
      <w:pPr>
        <w:ind w:left="3651" w:hanging="1185"/>
      </w:pPr>
      <w:rPr>
        <w:rFonts w:hint="default"/>
        <w:lang w:val="en-US" w:eastAsia="en-US" w:bidi="ar-SA"/>
      </w:rPr>
    </w:lvl>
    <w:lvl w:ilvl="4">
      <w:numFmt w:val="bullet"/>
      <w:lvlText w:val="•"/>
      <w:lvlJc w:val="left"/>
      <w:pPr>
        <w:ind w:left="4386" w:hanging="1185"/>
      </w:pPr>
      <w:rPr>
        <w:rFonts w:hint="default"/>
        <w:lang w:val="en-US" w:eastAsia="en-US" w:bidi="ar-SA"/>
      </w:rPr>
    </w:lvl>
    <w:lvl w:ilvl="5">
      <w:numFmt w:val="bullet"/>
      <w:lvlText w:val="•"/>
      <w:lvlJc w:val="left"/>
      <w:pPr>
        <w:ind w:left="5122" w:hanging="1185"/>
      </w:pPr>
      <w:rPr>
        <w:rFonts w:hint="default"/>
        <w:lang w:val="en-US" w:eastAsia="en-US" w:bidi="ar-SA"/>
      </w:rPr>
    </w:lvl>
    <w:lvl w:ilvl="6">
      <w:numFmt w:val="bullet"/>
      <w:lvlText w:val="•"/>
      <w:lvlJc w:val="left"/>
      <w:pPr>
        <w:ind w:left="5857" w:hanging="1185"/>
      </w:pPr>
      <w:rPr>
        <w:rFonts w:hint="default"/>
        <w:lang w:val="en-US" w:eastAsia="en-US" w:bidi="ar-SA"/>
      </w:rPr>
    </w:lvl>
    <w:lvl w:ilvl="7">
      <w:numFmt w:val="bullet"/>
      <w:lvlText w:val="•"/>
      <w:lvlJc w:val="left"/>
      <w:pPr>
        <w:ind w:left="6593" w:hanging="1185"/>
      </w:pPr>
      <w:rPr>
        <w:rFonts w:hint="default"/>
        <w:lang w:val="en-US" w:eastAsia="en-US" w:bidi="ar-SA"/>
      </w:rPr>
    </w:lvl>
    <w:lvl w:ilvl="8">
      <w:numFmt w:val="bullet"/>
      <w:lvlText w:val="•"/>
      <w:lvlJc w:val="left"/>
      <w:pPr>
        <w:ind w:left="7328" w:hanging="1185"/>
      </w:pPr>
      <w:rPr>
        <w:rFonts w:hint="default"/>
        <w:lang w:val="en-US" w:eastAsia="en-US" w:bidi="ar-SA"/>
      </w:rPr>
    </w:lvl>
  </w:abstractNum>
  <w:abstractNum w:abstractNumId="38" w15:restartNumberingAfterBreak="0">
    <w:nsid w:val="4676AFB1"/>
    <w:multiLevelType w:val="multilevel"/>
    <w:tmpl w:val="FFFFFFFF"/>
    <w:lvl w:ilvl="0">
      <w:start w:val="1"/>
      <w:numFmt w:val="decimal"/>
      <w:lvlText w:val="%1."/>
      <w:lvlJc w:val="left"/>
      <w:pPr>
        <w:ind w:left="1191" w:hanging="360"/>
      </w:pPr>
    </w:lvl>
    <w:lvl w:ilvl="1">
      <w:start w:val="1"/>
      <w:numFmt w:val="decimal"/>
      <w:lvlText w:val="%1.%2."/>
      <w:lvlJc w:val="left"/>
      <w:pPr>
        <w:ind w:left="1911" w:hanging="360"/>
      </w:pPr>
    </w:lvl>
    <w:lvl w:ilvl="2">
      <w:start w:val="1"/>
      <w:numFmt w:val="decimal"/>
      <w:lvlText w:val="%1.%2.%3."/>
      <w:lvlJc w:val="left"/>
      <w:pPr>
        <w:ind w:left="2631" w:hanging="180"/>
      </w:pPr>
    </w:lvl>
    <w:lvl w:ilvl="3">
      <w:start w:val="1"/>
      <w:numFmt w:val="decimal"/>
      <w:lvlText w:val="%1.%2.%3.%4."/>
      <w:lvlJc w:val="left"/>
      <w:pPr>
        <w:ind w:left="3351" w:hanging="360"/>
      </w:pPr>
    </w:lvl>
    <w:lvl w:ilvl="4">
      <w:start w:val="1"/>
      <w:numFmt w:val="decimal"/>
      <w:lvlText w:val="%1.%2.%3.%4.%5."/>
      <w:lvlJc w:val="left"/>
      <w:pPr>
        <w:ind w:left="4071" w:hanging="360"/>
      </w:pPr>
    </w:lvl>
    <w:lvl w:ilvl="5">
      <w:start w:val="1"/>
      <w:numFmt w:val="decimal"/>
      <w:lvlText w:val="%1.%2.%3.%4.%5.%6."/>
      <w:lvlJc w:val="left"/>
      <w:pPr>
        <w:ind w:left="4791" w:hanging="180"/>
      </w:pPr>
    </w:lvl>
    <w:lvl w:ilvl="6">
      <w:start w:val="1"/>
      <w:numFmt w:val="decimal"/>
      <w:lvlText w:val="%1.%2.%3.%4.%5.%6.%7."/>
      <w:lvlJc w:val="left"/>
      <w:pPr>
        <w:ind w:left="5511" w:hanging="360"/>
      </w:pPr>
    </w:lvl>
    <w:lvl w:ilvl="7">
      <w:start w:val="1"/>
      <w:numFmt w:val="decimal"/>
      <w:lvlText w:val="%1.%2.%3.%4.%5.%6.%7.%8."/>
      <w:lvlJc w:val="left"/>
      <w:pPr>
        <w:ind w:left="6231" w:hanging="360"/>
      </w:pPr>
    </w:lvl>
    <w:lvl w:ilvl="8">
      <w:start w:val="1"/>
      <w:numFmt w:val="decimal"/>
      <w:lvlText w:val="%1.%2.%3.%4.%5.%6.%7.%8.%9."/>
      <w:lvlJc w:val="left"/>
      <w:pPr>
        <w:ind w:left="6951" w:hanging="180"/>
      </w:pPr>
    </w:lvl>
  </w:abstractNum>
  <w:abstractNum w:abstractNumId="39" w15:restartNumberingAfterBreak="0">
    <w:nsid w:val="48451F6B"/>
    <w:multiLevelType w:val="multilevel"/>
    <w:tmpl w:val="D2186728"/>
    <w:lvl w:ilvl="0">
      <w:start w:val="1"/>
      <w:numFmt w:val="decimal"/>
      <w:lvlText w:val="%1."/>
      <w:lvlJc w:val="left"/>
      <w:pPr>
        <w:ind w:left="579" w:hanging="339"/>
      </w:pPr>
      <w:rPr>
        <w:rFonts w:ascii="Arial" w:hAnsi="Arial" w:hint="default"/>
      </w:rPr>
    </w:lvl>
    <w:lvl w:ilvl="1">
      <w:start w:val="1"/>
      <w:numFmt w:val="lowerLetter"/>
      <w:lvlText w:val="%2."/>
      <w:lvlJc w:val="left"/>
      <w:pPr>
        <w:ind w:left="1911" w:hanging="360"/>
      </w:pPr>
    </w:lvl>
    <w:lvl w:ilvl="2">
      <w:start w:val="1"/>
      <w:numFmt w:val="lowerRoman"/>
      <w:lvlText w:val="%3."/>
      <w:lvlJc w:val="right"/>
      <w:pPr>
        <w:ind w:left="2631" w:hanging="180"/>
      </w:pPr>
    </w:lvl>
    <w:lvl w:ilvl="3">
      <w:start w:val="1"/>
      <w:numFmt w:val="decimal"/>
      <w:lvlText w:val="%4."/>
      <w:lvlJc w:val="left"/>
      <w:pPr>
        <w:ind w:left="3351" w:hanging="360"/>
      </w:pPr>
    </w:lvl>
    <w:lvl w:ilvl="4">
      <w:start w:val="1"/>
      <w:numFmt w:val="lowerLetter"/>
      <w:lvlText w:val="%5."/>
      <w:lvlJc w:val="left"/>
      <w:pPr>
        <w:ind w:left="4071" w:hanging="360"/>
      </w:pPr>
    </w:lvl>
    <w:lvl w:ilvl="5">
      <w:start w:val="1"/>
      <w:numFmt w:val="lowerRoman"/>
      <w:lvlText w:val="%6."/>
      <w:lvlJc w:val="right"/>
      <w:pPr>
        <w:ind w:left="4791" w:hanging="180"/>
      </w:pPr>
    </w:lvl>
    <w:lvl w:ilvl="6">
      <w:start w:val="1"/>
      <w:numFmt w:val="decimal"/>
      <w:lvlText w:val="%7."/>
      <w:lvlJc w:val="left"/>
      <w:pPr>
        <w:ind w:left="5511" w:hanging="360"/>
      </w:pPr>
    </w:lvl>
    <w:lvl w:ilvl="7">
      <w:start w:val="1"/>
      <w:numFmt w:val="lowerLetter"/>
      <w:lvlText w:val="%8."/>
      <w:lvlJc w:val="left"/>
      <w:pPr>
        <w:ind w:left="6231" w:hanging="360"/>
      </w:pPr>
    </w:lvl>
    <w:lvl w:ilvl="8">
      <w:start w:val="1"/>
      <w:numFmt w:val="lowerRoman"/>
      <w:lvlText w:val="%9."/>
      <w:lvlJc w:val="right"/>
      <w:pPr>
        <w:ind w:left="6951" w:hanging="180"/>
      </w:pPr>
    </w:lvl>
  </w:abstractNum>
  <w:abstractNum w:abstractNumId="40" w15:restartNumberingAfterBreak="0">
    <w:nsid w:val="4950C138"/>
    <w:multiLevelType w:val="hybridMultilevel"/>
    <w:tmpl w:val="CD56E7F2"/>
    <w:lvl w:ilvl="0" w:tplc="DC5C3434">
      <w:start w:val="1"/>
      <w:numFmt w:val="bullet"/>
      <w:lvlText w:val=""/>
      <w:lvlJc w:val="left"/>
      <w:pPr>
        <w:ind w:left="720" w:hanging="360"/>
      </w:pPr>
      <w:rPr>
        <w:rFonts w:ascii="Symbol" w:hAnsi="Symbol" w:hint="default"/>
      </w:rPr>
    </w:lvl>
    <w:lvl w:ilvl="1" w:tplc="356CC2AC">
      <w:start w:val="1"/>
      <w:numFmt w:val="bullet"/>
      <w:lvlText w:val="o"/>
      <w:lvlJc w:val="left"/>
      <w:pPr>
        <w:ind w:left="1440" w:hanging="360"/>
      </w:pPr>
      <w:rPr>
        <w:rFonts w:ascii="Courier New" w:hAnsi="Courier New" w:hint="default"/>
      </w:rPr>
    </w:lvl>
    <w:lvl w:ilvl="2" w:tplc="B810ED1C">
      <w:start w:val="1"/>
      <w:numFmt w:val="bullet"/>
      <w:lvlText w:val=""/>
      <w:lvlJc w:val="left"/>
      <w:pPr>
        <w:ind w:left="2160" w:hanging="360"/>
      </w:pPr>
      <w:rPr>
        <w:rFonts w:ascii="Wingdings" w:hAnsi="Wingdings" w:hint="default"/>
      </w:rPr>
    </w:lvl>
    <w:lvl w:ilvl="3" w:tplc="D354FBE6">
      <w:start w:val="1"/>
      <w:numFmt w:val="bullet"/>
      <w:lvlText w:val=""/>
      <w:lvlJc w:val="left"/>
      <w:pPr>
        <w:ind w:left="2880" w:hanging="360"/>
      </w:pPr>
      <w:rPr>
        <w:rFonts w:ascii="Symbol" w:hAnsi="Symbol" w:hint="default"/>
      </w:rPr>
    </w:lvl>
    <w:lvl w:ilvl="4" w:tplc="6FD6EA98">
      <w:start w:val="1"/>
      <w:numFmt w:val="bullet"/>
      <w:lvlText w:val="o"/>
      <w:lvlJc w:val="left"/>
      <w:pPr>
        <w:ind w:left="3600" w:hanging="360"/>
      </w:pPr>
      <w:rPr>
        <w:rFonts w:ascii="Courier New" w:hAnsi="Courier New" w:hint="default"/>
      </w:rPr>
    </w:lvl>
    <w:lvl w:ilvl="5" w:tplc="6C2659F4">
      <w:start w:val="1"/>
      <w:numFmt w:val="bullet"/>
      <w:lvlText w:val=""/>
      <w:lvlJc w:val="left"/>
      <w:pPr>
        <w:ind w:left="4320" w:hanging="360"/>
      </w:pPr>
      <w:rPr>
        <w:rFonts w:ascii="Wingdings" w:hAnsi="Wingdings" w:hint="default"/>
      </w:rPr>
    </w:lvl>
    <w:lvl w:ilvl="6" w:tplc="3B08FC50">
      <w:start w:val="1"/>
      <w:numFmt w:val="bullet"/>
      <w:lvlText w:val=""/>
      <w:lvlJc w:val="left"/>
      <w:pPr>
        <w:ind w:left="5040" w:hanging="360"/>
      </w:pPr>
      <w:rPr>
        <w:rFonts w:ascii="Symbol" w:hAnsi="Symbol" w:hint="default"/>
      </w:rPr>
    </w:lvl>
    <w:lvl w:ilvl="7" w:tplc="4A028E32">
      <w:start w:val="1"/>
      <w:numFmt w:val="bullet"/>
      <w:lvlText w:val="o"/>
      <w:lvlJc w:val="left"/>
      <w:pPr>
        <w:ind w:left="5760" w:hanging="360"/>
      </w:pPr>
      <w:rPr>
        <w:rFonts w:ascii="Courier New" w:hAnsi="Courier New" w:hint="default"/>
      </w:rPr>
    </w:lvl>
    <w:lvl w:ilvl="8" w:tplc="7D8CD868">
      <w:start w:val="1"/>
      <w:numFmt w:val="bullet"/>
      <w:lvlText w:val=""/>
      <w:lvlJc w:val="left"/>
      <w:pPr>
        <w:ind w:left="6480" w:hanging="360"/>
      </w:pPr>
      <w:rPr>
        <w:rFonts w:ascii="Wingdings" w:hAnsi="Wingdings" w:hint="default"/>
      </w:rPr>
    </w:lvl>
  </w:abstractNum>
  <w:abstractNum w:abstractNumId="41" w15:restartNumberingAfterBreak="0">
    <w:nsid w:val="4CD938FD"/>
    <w:multiLevelType w:val="multilevel"/>
    <w:tmpl w:val="9F38A12E"/>
    <w:lvl w:ilvl="0">
      <w:numFmt w:val="none"/>
      <w:lvlText w:val=""/>
      <w:lvlJc w:val="left"/>
      <w:pPr>
        <w:tabs>
          <w:tab w:val="num" w:pos="360"/>
        </w:tabs>
      </w:pPr>
    </w:lvl>
    <w:lvl w:ilvl="1">
      <w:start w:val="1"/>
      <w:numFmt w:val="lowerLetter"/>
      <w:lvlText w:val="%2."/>
      <w:lvlJc w:val="left"/>
      <w:pPr>
        <w:ind w:left="1700" w:hanging="360"/>
      </w:pPr>
    </w:lvl>
    <w:lvl w:ilvl="2">
      <w:start w:val="1"/>
      <w:numFmt w:val="lowerRoman"/>
      <w:lvlText w:val="%3."/>
      <w:lvlJc w:val="right"/>
      <w:pPr>
        <w:ind w:left="2420" w:hanging="180"/>
      </w:pPr>
    </w:lvl>
    <w:lvl w:ilvl="3">
      <w:start w:val="1"/>
      <w:numFmt w:val="decimal"/>
      <w:lvlText w:val="%4."/>
      <w:lvlJc w:val="left"/>
      <w:pPr>
        <w:ind w:left="3140" w:hanging="360"/>
      </w:pPr>
    </w:lvl>
    <w:lvl w:ilvl="4">
      <w:start w:val="1"/>
      <w:numFmt w:val="lowerLetter"/>
      <w:lvlText w:val="%5."/>
      <w:lvlJc w:val="left"/>
      <w:pPr>
        <w:ind w:left="3860" w:hanging="360"/>
      </w:pPr>
    </w:lvl>
    <w:lvl w:ilvl="5">
      <w:start w:val="1"/>
      <w:numFmt w:val="lowerRoman"/>
      <w:lvlText w:val="%6."/>
      <w:lvlJc w:val="right"/>
      <w:pPr>
        <w:ind w:left="4580" w:hanging="180"/>
      </w:pPr>
    </w:lvl>
    <w:lvl w:ilvl="6">
      <w:start w:val="1"/>
      <w:numFmt w:val="decimal"/>
      <w:lvlText w:val="%7."/>
      <w:lvlJc w:val="left"/>
      <w:pPr>
        <w:ind w:left="5300" w:hanging="360"/>
      </w:pPr>
    </w:lvl>
    <w:lvl w:ilvl="7">
      <w:start w:val="1"/>
      <w:numFmt w:val="lowerLetter"/>
      <w:lvlText w:val="%8."/>
      <w:lvlJc w:val="left"/>
      <w:pPr>
        <w:ind w:left="6020" w:hanging="360"/>
      </w:pPr>
    </w:lvl>
    <w:lvl w:ilvl="8">
      <w:start w:val="1"/>
      <w:numFmt w:val="lowerRoman"/>
      <w:lvlText w:val="%9."/>
      <w:lvlJc w:val="right"/>
      <w:pPr>
        <w:ind w:left="6740" w:hanging="180"/>
      </w:pPr>
    </w:lvl>
  </w:abstractNum>
  <w:abstractNum w:abstractNumId="42" w15:restartNumberingAfterBreak="0">
    <w:nsid w:val="4D9F0D42"/>
    <w:multiLevelType w:val="hybridMultilevel"/>
    <w:tmpl w:val="54BE74DC"/>
    <w:lvl w:ilvl="0" w:tplc="806642C2">
      <w:numFmt w:val="bullet"/>
      <w:lvlText w:val="•"/>
      <w:lvlJc w:val="left"/>
      <w:pPr>
        <w:ind w:left="1212" w:hanging="360"/>
      </w:pPr>
      <w:rPr>
        <w:rFonts w:hint="default"/>
        <w:lang w:val="en-US" w:eastAsia="en-US" w:bidi="ar-SA"/>
      </w:rPr>
    </w:lvl>
    <w:lvl w:ilvl="1" w:tplc="1C090003" w:tentative="1">
      <w:start w:val="1"/>
      <w:numFmt w:val="bullet"/>
      <w:lvlText w:val="o"/>
      <w:lvlJc w:val="left"/>
      <w:pPr>
        <w:ind w:left="1932" w:hanging="360"/>
      </w:pPr>
      <w:rPr>
        <w:rFonts w:ascii="Courier New" w:hAnsi="Courier New" w:cs="Courier New" w:hint="default"/>
      </w:rPr>
    </w:lvl>
    <w:lvl w:ilvl="2" w:tplc="1C090005" w:tentative="1">
      <w:start w:val="1"/>
      <w:numFmt w:val="bullet"/>
      <w:lvlText w:val=""/>
      <w:lvlJc w:val="left"/>
      <w:pPr>
        <w:ind w:left="2652" w:hanging="360"/>
      </w:pPr>
      <w:rPr>
        <w:rFonts w:ascii="Wingdings" w:hAnsi="Wingdings" w:hint="default"/>
      </w:rPr>
    </w:lvl>
    <w:lvl w:ilvl="3" w:tplc="1C090001" w:tentative="1">
      <w:start w:val="1"/>
      <w:numFmt w:val="bullet"/>
      <w:lvlText w:val=""/>
      <w:lvlJc w:val="left"/>
      <w:pPr>
        <w:ind w:left="3372" w:hanging="360"/>
      </w:pPr>
      <w:rPr>
        <w:rFonts w:ascii="Symbol" w:hAnsi="Symbol" w:hint="default"/>
      </w:rPr>
    </w:lvl>
    <w:lvl w:ilvl="4" w:tplc="1C090003" w:tentative="1">
      <w:start w:val="1"/>
      <w:numFmt w:val="bullet"/>
      <w:lvlText w:val="o"/>
      <w:lvlJc w:val="left"/>
      <w:pPr>
        <w:ind w:left="4092" w:hanging="360"/>
      </w:pPr>
      <w:rPr>
        <w:rFonts w:ascii="Courier New" w:hAnsi="Courier New" w:cs="Courier New" w:hint="default"/>
      </w:rPr>
    </w:lvl>
    <w:lvl w:ilvl="5" w:tplc="1C090005" w:tentative="1">
      <w:start w:val="1"/>
      <w:numFmt w:val="bullet"/>
      <w:lvlText w:val=""/>
      <w:lvlJc w:val="left"/>
      <w:pPr>
        <w:ind w:left="4812" w:hanging="360"/>
      </w:pPr>
      <w:rPr>
        <w:rFonts w:ascii="Wingdings" w:hAnsi="Wingdings" w:hint="default"/>
      </w:rPr>
    </w:lvl>
    <w:lvl w:ilvl="6" w:tplc="1C090001" w:tentative="1">
      <w:start w:val="1"/>
      <w:numFmt w:val="bullet"/>
      <w:lvlText w:val=""/>
      <w:lvlJc w:val="left"/>
      <w:pPr>
        <w:ind w:left="5532" w:hanging="360"/>
      </w:pPr>
      <w:rPr>
        <w:rFonts w:ascii="Symbol" w:hAnsi="Symbol" w:hint="default"/>
      </w:rPr>
    </w:lvl>
    <w:lvl w:ilvl="7" w:tplc="1C090003" w:tentative="1">
      <w:start w:val="1"/>
      <w:numFmt w:val="bullet"/>
      <w:lvlText w:val="o"/>
      <w:lvlJc w:val="left"/>
      <w:pPr>
        <w:ind w:left="6252" w:hanging="360"/>
      </w:pPr>
      <w:rPr>
        <w:rFonts w:ascii="Courier New" w:hAnsi="Courier New" w:cs="Courier New" w:hint="default"/>
      </w:rPr>
    </w:lvl>
    <w:lvl w:ilvl="8" w:tplc="1C090005" w:tentative="1">
      <w:start w:val="1"/>
      <w:numFmt w:val="bullet"/>
      <w:lvlText w:val=""/>
      <w:lvlJc w:val="left"/>
      <w:pPr>
        <w:ind w:left="6972" w:hanging="360"/>
      </w:pPr>
      <w:rPr>
        <w:rFonts w:ascii="Wingdings" w:hAnsi="Wingdings" w:hint="default"/>
      </w:rPr>
    </w:lvl>
  </w:abstractNum>
  <w:abstractNum w:abstractNumId="43" w15:restartNumberingAfterBreak="0">
    <w:nsid w:val="4F8FFACA"/>
    <w:multiLevelType w:val="hybridMultilevel"/>
    <w:tmpl w:val="FFFFFFFF"/>
    <w:lvl w:ilvl="0" w:tplc="5E0ED69E">
      <w:start w:val="1"/>
      <w:numFmt w:val="bullet"/>
      <w:lvlText w:val=""/>
      <w:lvlJc w:val="left"/>
      <w:pPr>
        <w:ind w:left="1515" w:hanging="360"/>
      </w:pPr>
      <w:rPr>
        <w:rFonts w:ascii="Symbol" w:hAnsi="Symbol" w:hint="default"/>
      </w:rPr>
    </w:lvl>
    <w:lvl w:ilvl="1" w:tplc="2276616E">
      <w:start w:val="1"/>
      <w:numFmt w:val="bullet"/>
      <w:lvlText w:val="o"/>
      <w:lvlJc w:val="left"/>
      <w:pPr>
        <w:ind w:left="1440" w:hanging="360"/>
      </w:pPr>
      <w:rPr>
        <w:rFonts w:ascii="Courier New" w:hAnsi="Courier New" w:hint="default"/>
      </w:rPr>
    </w:lvl>
    <w:lvl w:ilvl="2" w:tplc="1BCE099A">
      <w:start w:val="1"/>
      <w:numFmt w:val="bullet"/>
      <w:lvlText w:val=""/>
      <w:lvlJc w:val="left"/>
      <w:pPr>
        <w:ind w:left="2160" w:hanging="360"/>
      </w:pPr>
      <w:rPr>
        <w:rFonts w:ascii="Wingdings" w:hAnsi="Wingdings" w:hint="default"/>
      </w:rPr>
    </w:lvl>
    <w:lvl w:ilvl="3" w:tplc="D16EF324">
      <w:start w:val="1"/>
      <w:numFmt w:val="bullet"/>
      <w:lvlText w:val=""/>
      <w:lvlJc w:val="left"/>
      <w:pPr>
        <w:ind w:left="2880" w:hanging="360"/>
      </w:pPr>
      <w:rPr>
        <w:rFonts w:ascii="Symbol" w:hAnsi="Symbol" w:hint="default"/>
      </w:rPr>
    </w:lvl>
    <w:lvl w:ilvl="4" w:tplc="5A2EF34C">
      <w:start w:val="1"/>
      <w:numFmt w:val="bullet"/>
      <w:lvlText w:val="o"/>
      <w:lvlJc w:val="left"/>
      <w:pPr>
        <w:ind w:left="3600" w:hanging="360"/>
      </w:pPr>
      <w:rPr>
        <w:rFonts w:ascii="Courier New" w:hAnsi="Courier New" w:hint="default"/>
      </w:rPr>
    </w:lvl>
    <w:lvl w:ilvl="5" w:tplc="6D689A30">
      <w:start w:val="1"/>
      <w:numFmt w:val="bullet"/>
      <w:lvlText w:val=""/>
      <w:lvlJc w:val="left"/>
      <w:pPr>
        <w:ind w:left="4320" w:hanging="360"/>
      </w:pPr>
      <w:rPr>
        <w:rFonts w:ascii="Wingdings" w:hAnsi="Wingdings" w:hint="default"/>
      </w:rPr>
    </w:lvl>
    <w:lvl w:ilvl="6" w:tplc="AD203BE2">
      <w:start w:val="1"/>
      <w:numFmt w:val="bullet"/>
      <w:lvlText w:val=""/>
      <w:lvlJc w:val="left"/>
      <w:pPr>
        <w:ind w:left="5040" w:hanging="360"/>
      </w:pPr>
      <w:rPr>
        <w:rFonts w:ascii="Symbol" w:hAnsi="Symbol" w:hint="default"/>
      </w:rPr>
    </w:lvl>
    <w:lvl w:ilvl="7" w:tplc="B3681050">
      <w:start w:val="1"/>
      <w:numFmt w:val="bullet"/>
      <w:lvlText w:val="o"/>
      <w:lvlJc w:val="left"/>
      <w:pPr>
        <w:ind w:left="5760" w:hanging="360"/>
      </w:pPr>
      <w:rPr>
        <w:rFonts w:ascii="Courier New" w:hAnsi="Courier New" w:hint="default"/>
      </w:rPr>
    </w:lvl>
    <w:lvl w:ilvl="8" w:tplc="13A60FE2">
      <w:start w:val="1"/>
      <w:numFmt w:val="bullet"/>
      <w:lvlText w:val=""/>
      <w:lvlJc w:val="left"/>
      <w:pPr>
        <w:ind w:left="6480" w:hanging="360"/>
      </w:pPr>
      <w:rPr>
        <w:rFonts w:ascii="Wingdings" w:hAnsi="Wingdings" w:hint="default"/>
      </w:rPr>
    </w:lvl>
  </w:abstractNum>
  <w:abstractNum w:abstractNumId="44" w15:restartNumberingAfterBreak="0">
    <w:nsid w:val="5223003C"/>
    <w:multiLevelType w:val="hybridMultilevel"/>
    <w:tmpl w:val="66147EB4"/>
    <w:lvl w:ilvl="0" w:tplc="387A09F0">
      <w:numFmt w:val="none"/>
      <w:lvlText w:val=""/>
      <w:lvlJc w:val="left"/>
      <w:pPr>
        <w:tabs>
          <w:tab w:val="num" w:pos="360"/>
        </w:tabs>
      </w:pPr>
    </w:lvl>
    <w:lvl w:ilvl="1" w:tplc="B6F43984">
      <w:start w:val="1"/>
      <w:numFmt w:val="lowerLetter"/>
      <w:lvlText w:val="%2."/>
      <w:lvlJc w:val="left"/>
      <w:pPr>
        <w:ind w:left="1800" w:hanging="360"/>
      </w:pPr>
    </w:lvl>
    <w:lvl w:ilvl="2" w:tplc="F10864BE">
      <w:start w:val="1"/>
      <w:numFmt w:val="lowerRoman"/>
      <w:lvlText w:val="%3."/>
      <w:lvlJc w:val="right"/>
      <w:pPr>
        <w:ind w:left="2520" w:hanging="180"/>
      </w:pPr>
    </w:lvl>
    <w:lvl w:ilvl="3" w:tplc="23CEE858">
      <w:start w:val="1"/>
      <w:numFmt w:val="decimal"/>
      <w:lvlText w:val="%4."/>
      <w:lvlJc w:val="left"/>
      <w:pPr>
        <w:ind w:left="3240" w:hanging="360"/>
      </w:pPr>
    </w:lvl>
    <w:lvl w:ilvl="4" w:tplc="185A87CA">
      <w:start w:val="1"/>
      <w:numFmt w:val="lowerLetter"/>
      <w:lvlText w:val="%5."/>
      <w:lvlJc w:val="left"/>
      <w:pPr>
        <w:ind w:left="3960" w:hanging="360"/>
      </w:pPr>
    </w:lvl>
    <w:lvl w:ilvl="5" w:tplc="FB22E2B8">
      <w:start w:val="1"/>
      <w:numFmt w:val="lowerRoman"/>
      <w:lvlText w:val="%6."/>
      <w:lvlJc w:val="right"/>
      <w:pPr>
        <w:ind w:left="4680" w:hanging="180"/>
      </w:pPr>
    </w:lvl>
    <w:lvl w:ilvl="6" w:tplc="5F826AC6">
      <w:start w:val="1"/>
      <w:numFmt w:val="decimal"/>
      <w:lvlText w:val="%7."/>
      <w:lvlJc w:val="left"/>
      <w:pPr>
        <w:ind w:left="5400" w:hanging="360"/>
      </w:pPr>
    </w:lvl>
    <w:lvl w:ilvl="7" w:tplc="A6B275F2">
      <w:start w:val="1"/>
      <w:numFmt w:val="lowerLetter"/>
      <w:lvlText w:val="%8."/>
      <w:lvlJc w:val="left"/>
      <w:pPr>
        <w:ind w:left="6120" w:hanging="360"/>
      </w:pPr>
    </w:lvl>
    <w:lvl w:ilvl="8" w:tplc="48C41778">
      <w:start w:val="1"/>
      <w:numFmt w:val="lowerRoman"/>
      <w:lvlText w:val="%9."/>
      <w:lvlJc w:val="right"/>
      <w:pPr>
        <w:ind w:left="6840" w:hanging="180"/>
      </w:pPr>
    </w:lvl>
  </w:abstractNum>
  <w:abstractNum w:abstractNumId="45" w15:restartNumberingAfterBreak="0">
    <w:nsid w:val="5383091F"/>
    <w:multiLevelType w:val="hybridMultilevel"/>
    <w:tmpl w:val="AF9A31B4"/>
    <w:lvl w:ilvl="0" w:tplc="806642C2">
      <w:numFmt w:val="bullet"/>
      <w:lvlText w:val="•"/>
      <w:lvlJc w:val="left"/>
      <w:pPr>
        <w:ind w:left="1212" w:hanging="360"/>
      </w:pPr>
      <w:rPr>
        <w:rFonts w:hint="default"/>
        <w:lang w:val="en-US" w:eastAsia="en-US" w:bidi="ar-SA"/>
      </w:rPr>
    </w:lvl>
    <w:lvl w:ilvl="1" w:tplc="1C090003" w:tentative="1">
      <w:start w:val="1"/>
      <w:numFmt w:val="bullet"/>
      <w:lvlText w:val="o"/>
      <w:lvlJc w:val="left"/>
      <w:pPr>
        <w:ind w:left="1932" w:hanging="360"/>
      </w:pPr>
      <w:rPr>
        <w:rFonts w:ascii="Courier New" w:hAnsi="Courier New" w:cs="Courier New" w:hint="default"/>
      </w:rPr>
    </w:lvl>
    <w:lvl w:ilvl="2" w:tplc="1C090005" w:tentative="1">
      <w:start w:val="1"/>
      <w:numFmt w:val="bullet"/>
      <w:lvlText w:val=""/>
      <w:lvlJc w:val="left"/>
      <w:pPr>
        <w:ind w:left="2652" w:hanging="360"/>
      </w:pPr>
      <w:rPr>
        <w:rFonts w:ascii="Wingdings" w:hAnsi="Wingdings" w:hint="default"/>
      </w:rPr>
    </w:lvl>
    <w:lvl w:ilvl="3" w:tplc="1C090001" w:tentative="1">
      <w:start w:val="1"/>
      <w:numFmt w:val="bullet"/>
      <w:lvlText w:val=""/>
      <w:lvlJc w:val="left"/>
      <w:pPr>
        <w:ind w:left="3372" w:hanging="360"/>
      </w:pPr>
      <w:rPr>
        <w:rFonts w:ascii="Symbol" w:hAnsi="Symbol" w:hint="default"/>
      </w:rPr>
    </w:lvl>
    <w:lvl w:ilvl="4" w:tplc="1C090003" w:tentative="1">
      <w:start w:val="1"/>
      <w:numFmt w:val="bullet"/>
      <w:lvlText w:val="o"/>
      <w:lvlJc w:val="left"/>
      <w:pPr>
        <w:ind w:left="4092" w:hanging="360"/>
      </w:pPr>
      <w:rPr>
        <w:rFonts w:ascii="Courier New" w:hAnsi="Courier New" w:cs="Courier New" w:hint="default"/>
      </w:rPr>
    </w:lvl>
    <w:lvl w:ilvl="5" w:tplc="1C090005" w:tentative="1">
      <w:start w:val="1"/>
      <w:numFmt w:val="bullet"/>
      <w:lvlText w:val=""/>
      <w:lvlJc w:val="left"/>
      <w:pPr>
        <w:ind w:left="4812" w:hanging="360"/>
      </w:pPr>
      <w:rPr>
        <w:rFonts w:ascii="Wingdings" w:hAnsi="Wingdings" w:hint="default"/>
      </w:rPr>
    </w:lvl>
    <w:lvl w:ilvl="6" w:tplc="1C090001" w:tentative="1">
      <w:start w:val="1"/>
      <w:numFmt w:val="bullet"/>
      <w:lvlText w:val=""/>
      <w:lvlJc w:val="left"/>
      <w:pPr>
        <w:ind w:left="5532" w:hanging="360"/>
      </w:pPr>
      <w:rPr>
        <w:rFonts w:ascii="Symbol" w:hAnsi="Symbol" w:hint="default"/>
      </w:rPr>
    </w:lvl>
    <w:lvl w:ilvl="7" w:tplc="1C090003" w:tentative="1">
      <w:start w:val="1"/>
      <w:numFmt w:val="bullet"/>
      <w:lvlText w:val="o"/>
      <w:lvlJc w:val="left"/>
      <w:pPr>
        <w:ind w:left="6252" w:hanging="360"/>
      </w:pPr>
      <w:rPr>
        <w:rFonts w:ascii="Courier New" w:hAnsi="Courier New" w:cs="Courier New" w:hint="default"/>
      </w:rPr>
    </w:lvl>
    <w:lvl w:ilvl="8" w:tplc="1C090005" w:tentative="1">
      <w:start w:val="1"/>
      <w:numFmt w:val="bullet"/>
      <w:lvlText w:val=""/>
      <w:lvlJc w:val="left"/>
      <w:pPr>
        <w:ind w:left="6972" w:hanging="360"/>
      </w:pPr>
      <w:rPr>
        <w:rFonts w:ascii="Wingdings" w:hAnsi="Wingdings" w:hint="default"/>
      </w:rPr>
    </w:lvl>
  </w:abstractNum>
  <w:abstractNum w:abstractNumId="46" w15:restartNumberingAfterBreak="0">
    <w:nsid w:val="53EC52D2"/>
    <w:multiLevelType w:val="hybridMultilevel"/>
    <w:tmpl w:val="B49A0EFA"/>
    <w:lvl w:ilvl="0" w:tplc="806642C2">
      <w:numFmt w:val="bullet"/>
      <w:lvlText w:val="•"/>
      <w:lvlJc w:val="left"/>
      <w:pPr>
        <w:ind w:left="2326" w:hanging="360"/>
      </w:pPr>
      <w:rPr>
        <w:rFonts w:hint="default"/>
        <w:lang w:val="en-US" w:eastAsia="en-US" w:bidi="ar-SA"/>
      </w:rPr>
    </w:lvl>
    <w:lvl w:ilvl="1" w:tplc="FFFFFFFF" w:tentative="1">
      <w:start w:val="1"/>
      <w:numFmt w:val="bullet"/>
      <w:lvlText w:val="o"/>
      <w:lvlJc w:val="left"/>
      <w:pPr>
        <w:ind w:left="2914" w:hanging="360"/>
      </w:pPr>
      <w:rPr>
        <w:rFonts w:ascii="Courier New" w:hAnsi="Courier New" w:cs="Courier New" w:hint="default"/>
      </w:rPr>
    </w:lvl>
    <w:lvl w:ilvl="2" w:tplc="FFFFFFFF" w:tentative="1">
      <w:start w:val="1"/>
      <w:numFmt w:val="bullet"/>
      <w:lvlText w:val=""/>
      <w:lvlJc w:val="left"/>
      <w:pPr>
        <w:ind w:left="3634" w:hanging="360"/>
      </w:pPr>
      <w:rPr>
        <w:rFonts w:ascii="Wingdings" w:hAnsi="Wingdings" w:hint="default"/>
      </w:rPr>
    </w:lvl>
    <w:lvl w:ilvl="3" w:tplc="FFFFFFFF" w:tentative="1">
      <w:start w:val="1"/>
      <w:numFmt w:val="bullet"/>
      <w:lvlText w:val=""/>
      <w:lvlJc w:val="left"/>
      <w:pPr>
        <w:ind w:left="4354" w:hanging="360"/>
      </w:pPr>
      <w:rPr>
        <w:rFonts w:ascii="Symbol" w:hAnsi="Symbol" w:hint="default"/>
      </w:rPr>
    </w:lvl>
    <w:lvl w:ilvl="4" w:tplc="FFFFFFFF" w:tentative="1">
      <w:start w:val="1"/>
      <w:numFmt w:val="bullet"/>
      <w:lvlText w:val="o"/>
      <w:lvlJc w:val="left"/>
      <w:pPr>
        <w:ind w:left="5074" w:hanging="360"/>
      </w:pPr>
      <w:rPr>
        <w:rFonts w:ascii="Courier New" w:hAnsi="Courier New" w:cs="Courier New" w:hint="default"/>
      </w:rPr>
    </w:lvl>
    <w:lvl w:ilvl="5" w:tplc="FFFFFFFF" w:tentative="1">
      <w:start w:val="1"/>
      <w:numFmt w:val="bullet"/>
      <w:lvlText w:val=""/>
      <w:lvlJc w:val="left"/>
      <w:pPr>
        <w:ind w:left="5794" w:hanging="360"/>
      </w:pPr>
      <w:rPr>
        <w:rFonts w:ascii="Wingdings" w:hAnsi="Wingdings" w:hint="default"/>
      </w:rPr>
    </w:lvl>
    <w:lvl w:ilvl="6" w:tplc="FFFFFFFF" w:tentative="1">
      <w:start w:val="1"/>
      <w:numFmt w:val="bullet"/>
      <w:lvlText w:val=""/>
      <w:lvlJc w:val="left"/>
      <w:pPr>
        <w:ind w:left="6514" w:hanging="360"/>
      </w:pPr>
      <w:rPr>
        <w:rFonts w:ascii="Symbol" w:hAnsi="Symbol" w:hint="default"/>
      </w:rPr>
    </w:lvl>
    <w:lvl w:ilvl="7" w:tplc="FFFFFFFF" w:tentative="1">
      <w:start w:val="1"/>
      <w:numFmt w:val="bullet"/>
      <w:lvlText w:val="o"/>
      <w:lvlJc w:val="left"/>
      <w:pPr>
        <w:ind w:left="7234" w:hanging="360"/>
      </w:pPr>
      <w:rPr>
        <w:rFonts w:ascii="Courier New" w:hAnsi="Courier New" w:cs="Courier New" w:hint="default"/>
      </w:rPr>
    </w:lvl>
    <w:lvl w:ilvl="8" w:tplc="FFFFFFFF" w:tentative="1">
      <w:start w:val="1"/>
      <w:numFmt w:val="bullet"/>
      <w:lvlText w:val=""/>
      <w:lvlJc w:val="left"/>
      <w:pPr>
        <w:ind w:left="7954" w:hanging="360"/>
      </w:pPr>
      <w:rPr>
        <w:rFonts w:ascii="Wingdings" w:hAnsi="Wingdings" w:hint="default"/>
      </w:rPr>
    </w:lvl>
  </w:abstractNum>
  <w:abstractNum w:abstractNumId="47" w15:restartNumberingAfterBreak="0">
    <w:nsid w:val="545FDBBC"/>
    <w:multiLevelType w:val="hybridMultilevel"/>
    <w:tmpl w:val="FFFFFFFF"/>
    <w:lvl w:ilvl="0" w:tplc="390CF1C0">
      <w:start w:val="2"/>
      <w:numFmt w:val="upperLetter"/>
      <w:lvlText w:val="%1."/>
      <w:lvlJc w:val="left"/>
      <w:pPr>
        <w:ind w:left="1440" w:hanging="360"/>
      </w:pPr>
    </w:lvl>
    <w:lvl w:ilvl="1" w:tplc="003E8C36">
      <w:start w:val="1"/>
      <w:numFmt w:val="lowerLetter"/>
      <w:lvlText w:val="%2."/>
      <w:lvlJc w:val="left"/>
      <w:pPr>
        <w:ind w:left="1440" w:hanging="360"/>
      </w:pPr>
    </w:lvl>
    <w:lvl w:ilvl="2" w:tplc="5ECE9C2C">
      <w:start w:val="1"/>
      <w:numFmt w:val="lowerRoman"/>
      <w:lvlText w:val="%3."/>
      <w:lvlJc w:val="right"/>
      <w:pPr>
        <w:ind w:left="2160" w:hanging="180"/>
      </w:pPr>
    </w:lvl>
    <w:lvl w:ilvl="3" w:tplc="EABCDE72">
      <w:start w:val="1"/>
      <w:numFmt w:val="decimal"/>
      <w:lvlText w:val="%4."/>
      <w:lvlJc w:val="left"/>
      <w:pPr>
        <w:ind w:left="2880" w:hanging="360"/>
      </w:pPr>
    </w:lvl>
    <w:lvl w:ilvl="4" w:tplc="6D783068">
      <w:start w:val="1"/>
      <w:numFmt w:val="lowerLetter"/>
      <w:lvlText w:val="%5."/>
      <w:lvlJc w:val="left"/>
      <w:pPr>
        <w:ind w:left="3600" w:hanging="360"/>
      </w:pPr>
    </w:lvl>
    <w:lvl w:ilvl="5" w:tplc="96AA6E1E">
      <w:start w:val="1"/>
      <w:numFmt w:val="lowerRoman"/>
      <w:lvlText w:val="%6."/>
      <w:lvlJc w:val="right"/>
      <w:pPr>
        <w:ind w:left="4320" w:hanging="180"/>
      </w:pPr>
    </w:lvl>
    <w:lvl w:ilvl="6" w:tplc="E2BE5302">
      <w:start w:val="1"/>
      <w:numFmt w:val="decimal"/>
      <w:lvlText w:val="%7."/>
      <w:lvlJc w:val="left"/>
      <w:pPr>
        <w:ind w:left="5040" w:hanging="360"/>
      </w:pPr>
    </w:lvl>
    <w:lvl w:ilvl="7" w:tplc="EF983FBC">
      <w:start w:val="1"/>
      <w:numFmt w:val="lowerLetter"/>
      <w:lvlText w:val="%8."/>
      <w:lvlJc w:val="left"/>
      <w:pPr>
        <w:ind w:left="5760" w:hanging="360"/>
      </w:pPr>
    </w:lvl>
    <w:lvl w:ilvl="8" w:tplc="8FAE9464">
      <w:start w:val="1"/>
      <w:numFmt w:val="lowerRoman"/>
      <w:lvlText w:val="%9."/>
      <w:lvlJc w:val="right"/>
      <w:pPr>
        <w:ind w:left="6480" w:hanging="180"/>
      </w:pPr>
    </w:lvl>
  </w:abstractNum>
  <w:abstractNum w:abstractNumId="48" w15:restartNumberingAfterBreak="0">
    <w:nsid w:val="56C513AA"/>
    <w:multiLevelType w:val="multilevel"/>
    <w:tmpl w:val="2A06B1B4"/>
    <w:lvl w:ilvl="0">
      <w:start w:val="7"/>
      <w:numFmt w:val="decimal"/>
      <w:lvlText w:val="%1"/>
      <w:lvlJc w:val="left"/>
      <w:pPr>
        <w:ind w:left="561" w:hanging="408"/>
      </w:pPr>
      <w:rPr>
        <w:rFonts w:hint="default"/>
        <w:lang w:val="en-US" w:eastAsia="en-US" w:bidi="ar-SA"/>
      </w:rPr>
    </w:lvl>
    <w:lvl w:ilvl="1">
      <w:start w:val="2"/>
      <w:numFmt w:val="decimal"/>
      <w:lvlText w:val="%1.%2."/>
      <w:lvlJc w:val="left"/>
      <w:pPr>
        <w:ind w:left="561" w:hanging="408"/>
      </w:pPr>
      <w:rPr>
        <w:rFonts w:ascii="Arial" w:eastAsia="Arial" w:hAnsi="Arial" w:cs="Arial" w:hint="default"/>
        <w:b/>
        <w:bCs/>
        <w:spacing w:val="-2"/>
        <w:w w:val="99"/>
        <w:sz w:val="21"/>
        <w:szCs w:val="21"/>
        <w:lang w:val="en-US" w:eastAsia="en-US" w:bidi="ar-SA"/>
      </w:rPr>
    </w:lvl>
    <w:lvl w:ilvl="2">
      <w:numFmt w:val="bullet"/>
      <w:lvlText w:val="•"/>
      <w:lvlJc w:val="left"/>
      <w:pPr>
        <w:ind w:left="2208" w:hanging="408"/>
      </w:pPr>
      <w:rPr>
        <w:rFonts w:hint="default"/>
        <w:lang w:val="en-US" w:eastAsia="en-US" w:bidi="ar-SA"/>
      </w:rPr>
    </w:lvl>
    <w:lvl w:ilvl="3">
      <w:numFmt w:val="bullet"/>
      <w:lvlText w:val="•"/>
      <w:lvlJc w:val="left"/>
      <w:pPr>
        <w:ind w:left="3032" w:hanging="408"/>
      </w:pPr>
      <w:rPr>
        <w:rFonts w:hint="default"/>
        <w:lang w:val="en-US" w:eastAsia="en-US" w:bidi="ar-SA"/>
      </w:rPr>
    </w:lvl>
    <w:lvl w:ilvl="4">
      <w:numFmt w:val="bullet"/>
      <w:lvlText w:val="•"/>
      <w:lvlJc w:val="left"/>
      <w:pPr>
        <w:ind w:left="3856" w:hanging="408"/>
      </w:pPr>
      <w:rPr>
        <w:rFonts w:hint="default"/>
        <w:lang w:val="en-US" w:eastAsia="en-US" w:bidi="ar-SA"/>
      </w:rPr>
    </w:lvl>
    <w:lvl w:ilvl="5">
      <w:numFmt w:val="bullet"/>
      <w:lvlText w:val="•"/>
      <w:lvlJc w:val="left"/>
      <w:pPr>
        <w:ind w:left="4680" w:hanging="408"/>
      </w:pPr>
      <w:rPr>
        <w:rFonts w:hint="default"/>
        <w:lang w:val="en-US" w:eastAsia="en-US" w:bidi="ar-SA"/>
      </w:rPr>
    </w:lvl>
    <w:lvl w:ilvl="6">
      <w:numFmt w:val="bullet"/>
      <w:lvlText w:val="•"/>
      <w:lvlJc w:val="left"/>
      <w:pPr>
        <w:ind w:left="5504" w:hanging="408"/>
      </w:pPr>
      <w:rPr>
        <w:rFonts w:hint="default"/>
        <w:lang w:val="en-US" w:eastAsia="en-US" w:bidi="ar-SA"/>
      </w:rPr>
    </w:lvl>
    <w:lvl w:ilvl="7">
      <w:numFmt w:val="bullet"/>
      <w:lvlText w:val="•"/>
      <w:lvlJc w:val="left"/>
      <w:pPr>
        <w:ind w:left="6328" w:hanging="408"/>
      </w:pPr>
      <w:rPr>
        <w:rFonts w:hint="default"/>
        <w:lang w:val="en-US" w:eastAsia="en-US" w:bidi="ar-SA"/>
      </w:rPr>
    </w:lvl>
    <w:lvl w:ilvl="8">
      <w:numFmt w:val="bullet"/>
      <w:lvlText w:val="•"/>
      <w:lvlJc w:val="left"/>
      <w:pPr>
        <w:ind w:left="7152" w:hanging="408"/>
      </w:pPr>
      <w:rPr>
        <w:rFonts w:hint="default"/>
        <w:lang w:val="en-US" w:eastAsia="en-US" w:bidi="ar-SA"/>
      </w:rPr>
    </w:lvl>
  </w:abstractNum>
  <w:abstractNum w:abstractNumId="49" w15:restartNumberingAfterBreak="0">
    <w:nsid w:val="57EE3ACF"/>
    <w:multiLevelType w:val="hybridMultilevel"/>
    <w:tmpl w:val="3962E8DA"/>
    <w:lvl w:ilvl="0" w:tplc="772E9760">
      <w:start w:val="1"/>
      <w:numFmt w:val="bullet"/>
      <w:lvlText w:val=""/>
      <w:lvlJc w:val="left"/>
      <w:pPr>
        <w:ind w:left="1440" w:hanging="360"/>
      </w:pPr>
      <w:rPr>
        <w:rFonts w:ascii="Symbol" w:hAnsi="Symbol" w:hint="default"/>
      </w:rPr>
    </w:lvl>
    <w:lvl w:ilvl="1" w:tplc="BC28DBA4">
      <w:start w:val="1"/>
      <w:numFmt w:val="bullet"/>
      <w:lvlText w:val="o"/>
      <w:lvlJc w:val="left"/>
      <w:pPr>
        <w:ind w:left="2160" w:hanging="360"/>
      </w:pPr>
      <w:rPr>
        <w:rFonts w:ascii="Courier New" w:hAnsi="Courier New" w:hint="default"/>
      </w:rPr>
    </w:lvl>
    <w:lvl w:ilvl="2" w:tplc="C96E26D6">
      <w:start w:val="1"/>
      <w:numFmt w:val="bullet"/>
      <w:lvlText w:val=""/>
      <w:lvlJc w:val="left"/>
      <w:pPr>
        <w:ind w:left="2880" w:hanging="360"/>
      </w:pPr>
      <w:rPr>
        <w:rFonts w:ascii="Wingdings" w:hAnsi="Wingdings" w:hint="default"/>
      </w:rPr>
    </w:lvl>
    <w:lvl w:ilvl="3" w:tplc="4872A61C">
      <w:start w:val="1"/>
      <w:numFmt w:val="bullet"/>
      <w:lvlText w:val=""/>
      <w:lvlJc w:val="left"/>
      <w:pPr>
        <w:ind w:left="3600" w:hanging="360"/>
      </w:pPr>
      <w:rPr>
        <w:rFonts w:ascii="Symbol" w:hAnsi="Symbol" w:hint="default"/>
      </w:rPr>
    </w:lvl>
    <w:lvl w:ilvl="4" w:tplc="F5CAE6FC">
      <w:start w:val="1"/>
      <w:numFmt w:val="bullet"/>
      <w:lvlText w:val="o"/>
      <w:lvlJc w:val="left"/>
      <w:pPr>
        <w:ind w:left="4320" w:hanging="360"/>
      </w:pPr>
      <w:rPr>
        <w:rFonts w:ascii="Courier New" w:hAnsi="Courier New" w:hint="default"/>
      </w:rPr>
    </w:lvl>
    <w:lvl w:ilvl="5" w:tplc="E78C7712">
      <w:start w:val="1"/>
      <w:numFmt w:val="bullet"/>
      <w:lvlText w:val=""/>
      <w:lvlJc w:val="left"/>
      <w:pPr>
        <w:ind w:left="5040" w:hanging="360"/>
      </w:pPr>
      <w:rPr>
        <w:rFonts w:ascii="Wingdings" w:hAnsi="Wingdings" w:hint="default"/>
      </w:rPr>
    </w:lvl>
    <w:lvl w:ilvl="6" w:tplc="6E2287F6">
      <w:start w:val="1"/>
      <w:numFmt w:val="bullet"/>
      <w:lvlText w:val=""/>
      <w:lvlJc w:val="left"/>
      <w:pPr>
        <w:ind w:left="5760" w:hanging="360"/>
      </w:pPr>
      <w:rPr>
        <w:rFonts w:ascii="Symbol" w:hAnsi="Symbol" w:hint="default"/>
      </w:rPr>
    </w:lvl>
    <w:lvl w:ilvl="7" w:tplc="566255E8">
      <w:start w:val="1"/>
      <w:numFmt w:val="bullet"/>
      <w:lvlText w:val="o"/>
      <w:lvlJc w:val="left"/>
      <w:pPr>
        <w:ind w:left="6480" w:hanging="360"/>
      </w:pPr>
      <w:rPr>
        <w:rFonts w:ascii="Courier New" w:hAnsi="Courier New" w:hint="default"/>
      </w:rPr>
    </w:lvl>
    <w:lvl w:ilvl="8" w:tplc="3DF664B2">
      <w:start w:val="1"/>
      <w:numFmt w:val="bullet"/>
      <w:lvlText w:val=""/>
      <w:lvlJc w:val="left"/>
      <w:pPr>
        <w:ind w:left="7200" w:hanging="360"/>
      </w:pPr>
      <w:rPr>
        <w:rFonts w:ascii="Wingdings" w:hAnsi="Wingdings" w:hint="default"/>
      </w:rPr>
    </w:lvl>
  </w:abstractNum>
  <w:abstractNum w:abstractNumId="50" w15:restartNumberingAfterBreak="0">
    <w:nsid w:val="597B097E"/>
    <w:multiLevelType w:val="multilevel"/>
    <w:tmpl w:val="51AC87BE"/>
    <w:lvl w:ilvl="0">
      <w:start w:val="1"/>
      <w:numFmt w:val="decimal"/>
      <w:lvlText w:val="%1."/>
      <w:lvlJc w:val="left"/>
      <w:pPr>
        <w:ind w:left="579" w:hanging="339"/>
      </w:pPr>
      <w:rPr>
        <w:rFonts w:ascii="Arial" w:hAnsi="Arial" w:hint="default"/>
        <w:b/>
        <w:bCs/>
        <w:spacing w:val="-2"/>
        <w:w w:val="99"/>
        <w:sz w:val="21"/>
        <w:szCs w:val="21"/>
        <w:lang w:val="en-US" w:eastAsia="en-US" w:bidi="ar-SA"/>
      </w:rPr>
    </w:lvl>
    <w:lvl w:ilvl="1">
      <w:start w:val="1"/>
      <w:numFmt w:val="decimal"/>
      <w:lvlText w:val="%1.%2."/>
      <w:lvlJc w:val="left"/>
      <w:pPr>
        <w:ind w:left="960" w:hanging="406"/>
      </w:pPr>
      <w:rPr>
        <w:rFonts w:ascii="Arial" w:hAnsi="Arial" w:hint="default"/>
        <w:b/>
        <w:bCs/>
        <w:spacing w:val="-2"/>
        <w:w w:val="99"/>
        <w:sz w:val="21"/>
        <w:szCs w:val="21"/>
        <w:lang w:val="en-US" w:eastAsia="en-US" w:bidi="ar-SA"/>
      </w:rPr>
    </w:lvl>
    <w:lvl w:ilvl="2">
      <w:numFmt w:val="bullet"/>
      <w:lvlText w:val="•"/>
      <w:lvlJc w:val="left"/>
      <w:pPr>
        <w:ind w:left="1880" w:hanging="406"/>
      </w:pPr>
      <w:rPr>
        <w:rFonts w:hint="default"/>
        <w:lang w:val="en-US" w:eastAsia="en-US" w:bidi="ar-SA"/>
      </w:rPr>
    </w:lvl>
    <w:lvl w:ilvl="3">
      <w:numFmt w:val="bullet"/>
      <w:lvlText w:val="•"/>
      <w:lvlJc w:val="left"/>
      <w:pPr>
        <w:ind w:left="2745" w:hanging="406"/>
      </w:pPr>
      <w:rPr>
        <w:rFonts w:hint="default"/>
        <w:lang w:val="en-US" w:eastAsia="en-US" w:bidi="ar-SA"/>
      </w:rPr>
    </w:lvl>
    <w:lvl w:ilvl="4">
      <w:numFmt w:val="bullet"/>
      <w:lvlText w:val="•"/>
      <w:lvlJc w:val="left"/>
      <w:pPr>
        <w:ind w:left="3610" w:hanging="406"/>
      </w:pPr>
      <w:rPr>
        <w:rFonts w:hint="default"/>
        <w:lang w:val="en-US" w:eastAsia="en-US" w:bidi="ar-SA"/>
      </w:rPr>
    </w:lvl>
    <w:lvl w:ilvl="5">
      <w:numFmt w:val="bullet"/>
      <w:lvlText w:val="•"/>
      <w:lvlJc w:val="left"/>
      <w:pPr>
        <w:ind w:left="4475" w:hanging="406"/>
      </w:pPr>
      <w:rPr>
        <w:rFonts w:hint="default"/>
        <w:lang w:val="en-US" w:eastAsia="en-US" w:bidi="ar-SA"/>
      </w:rPr>
    </w:lvl>
    <w:lvl w:ilvl="6">
      <w:numFmt w:val="bullet"/>
      <w:lvlText w:val="•"/>
      <w:lvlJc w:val="left"/>
      <w:pPr>
        <w:ind w:left="5340" w:hanging="406"/>
      </w:pPr>
      <w:rPr>
        <w:rFonts w:hint="default"/>
        <w:lang w:val="en-US" w:eastAsia="en-US" w:bidi="ar-SA"/>
      </w:rPr>
    </w:lvl>
    <w:lvl w:ilvl="7">
      <w:numFmt w:val="bullet"/>
      <w:lvlText w:val="•"/>
      <w:lvlJc w:val="left"/>
      <w:pPr>
        <w:ind w:left="6205" w:hanging="406"/>
      </w:pPr>
      <w:rPr>
        <w:rFonts w:hint="default"/>
        <w:lang w:val="en-US" w:eastAsia="en-US" w:bidi="ar-SA"/>
      </w:rPr>
    </w:lvl>
    <w:lvl w:ilvl="8">
      <w:numFmt w:val="bullet"/>
      <w:lvlText w:val="•"/>
      <w:lvlJc w:val="left"/>
      <w:pPr>
        <w:ind w:left="7070" w:hanging="406"/>
      </w:pPr>
      <w:rPr>
        <w:rFonts w:hint="default"/>
        <w:lang w:val="en-US" w:eastAsia="en-US" w:bidi="ar-SA"/>
      </w:rPr>
    </w:lvl>
  </w:abstractNum>
  <w:abstractNum w:abstractNumId="51" w15:restartNumberingAfterBreak="0">
    <w:nsid w:val="5A8A2936"/>
    <w:multiLevelType w:val="hybridMultilevel"/>
    <w:tmpl w:val="491A00DA"/>
    <w:lvl w:ilvl="0" w:tplc="2392D9DA">
      <w:start w:val="1"/>
      <w:numFmt w:val="bullet"/>
      <w:lvlText w:val="•"/>
      <w:lvlJc w:val="left"/>
      <w:pPr>
        <w:tabs>
          <w:tab w:val="num" w:pos="720"/>
        </w:tabs>
        <w:ind w:left="720" w:hanging="360"/>
      </w:pPr>
      <w:rPr>
        <w:rFonts w:ascii="Arial" w:hAnsi="Arial" w:hint="default"/>
      </w:rPr>
    </w:lvl>
    <w:lvl w:ilvl="1" w:tplc="14BE1122">
      <w:numFmt w:val="bullet"/>
      <w:lvlText w:val="•"/>
      <w:lvlJc w:val="left"/>
      <w:pPr>
        <w:tabs>
          <w:tab w:val="num" w:pos="1440"/>
        </w:tabs>
        <w:ind w:left="1440" w:hanging="360"/>
      </w:pPr>
      <w:rPr>
        <w:rFonts w:ascii="Arial" w:hAnsi="Arial" w:hint="default"/>
      </w:rPr>
    </w:lvl>
    <w:lvl w:ilvl="2" w:tplc="C3D0BA14" w:tentative="1">
      <w:start w:val="1"/>
      <w:numFmt w:val="bullet"/>
      <w:lvlText w:val="•"/>
      <w:lvlJc w:val="left"/>
      <w:pPr>
        <w:tabs>
          <w:tab w:val="num" w:pos="2160"/>
        </w:tabs>
        <w:ind w:left="2160" w:hanging="360"/>
      </w:pPr>
      <w:rPr>
        <w:rFonts w:ascii="Arial" w:hAnsi="Arial" w:hint="default"/>
      </w:rPr>
    </w:lvl>
    <w:lvl w:ilvl="3" w:tplc="3360721E" w:tentative="1">
      <w:start w:val="1"/>
      <w:numFmt w:val="bullet"/>
      <w:lvlText w:val="•"/>
      <w:lvlJc w:val="left"/>
      <w:pPr>
        <w:tabs>
          <w:tab w:val="num" w:pos="2880"/>
        </w:tabs>
        <w:ind w:left="2880" w:hanging="360"/>
      </w:pPr>
      <w:rPr>
        <w:rFonts w:ascii="Arial" w:hAnsi="Arial" w:hint="default"/>
      </w:rPr>
    </w:lvl>
    <w:lvl w:ilvl="4" w:tplc="45BA4396" w:tentative="1">
      <w:start w:val="1"/>
      <w:numFmt w:val="bullet"/>
      <w:lvlText w:val="•"/>
      <w:lvlJc w:val="left"/>
      <w:pPr>
        <w:tabs>
          <w:tab w:val="num" w:pos="3600"/>
        </w:tabs>
        <w:ind w:left="3600" w:hanging="360"/>
      </w:pPr>
      <w:rPr>
        <w:rFonts w:ascii="Arial" w:hAnsi="Arial" w:hint="default"/>
      </w:rPr>
    </w:lvl>
    <w:lvl w:ilvl="5" w:tplc="33FC906A" w:tentative="1">
      <w:start w:val="1"/>
      <w:numFmt w:val="bullet"/>
      <w:lvlText w:val="•"/>
      <w:lvlJc w:val="left"/>
      <w:pPr>
        <w:tabs>
          <w:tab w:val="num" w:pos="4320"/>
        </w:tabs>
        <w:ind w:left="4320" w:hanging="360"/>
      </w:pPr>
      <w:rPr>
        <w:rFonts w:ascii="Arial" w:hAnsi="Arial" w:hint="default"/>
      </w:rPr>
    </w:lvl>
    <w:lvl w:ilvl="6" w:tplc="CAA00CEC" w:tentative="1">
      <w:start w:val="1"/>
      <w:numFmt w:val="bullet"/>
      <w:lvlText w:val="•"/>
      <w:lvlJc w:val="left"/>
      <w:pPr>
        <w:tabs>
          <w:tab w:val="num" w:pos="5040"/>
        </w:tabs>
        <w:ind w:left="5040" w:hanging="360"/>
      </w:pPr>
      <w:rPr>
        <w:rFonts w:ascii="Arial" w:hAnsi="Arial" w:hint="default"/>
      </w:rPr>
    </w:lvl>
    <w:lvl w:ilvl="7" w:tplc="0DCC8F34" w:tentative="1">
      <w:start w:val="1"/>
      <w:numFmt w:val="bullet"/>
      <w:lvlText w:val="•"/>
      <w:lvlJc w:val="left"/>
      <w:pPr>
        <w:tabs>
          <w:tab w:val="num" w:pos="5760"/>
        </w:tabs>
        <w:ind w:left="5760" w:hanging="360"/>
      </w:pPr>
      <w:rPr>
        <w:rFonts w:ascii="Arial" w:hAnsi="Arial" w:hint="default"/>
      </w:rPr>
    </w:lvl>
    <w:lvl w:ilvl="8" w:tplc="2C12255E"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5AC33EF7"/>
    <w:multiLevelType w:val="hybridMultilevel"/>
    <w:tmpl w:val="A35C890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3" w15:restartNumberingAfterBreak="0">
    <w:nsid w:val="5AD68668"/>
    <w:multiLevelType w:val="hybridMultilevel"/>
    <w:tmpl w:val="FFFFFFFF"/>
    <w:lvl w:ilvl="0" w:tplc="C0DC63A4">
      <w:start w:val="1"/>
      <w:numFmt w:val="bullet"/>
      <w:lvlText w:val=""/>
      <w:lvlJc w:val="left"/>
      <w:pPr>
        <w:ind w:left="1440" w:hanging="360"/>
      </w:pPr>
      <w:rPr>
        <w:rFonts w:ascii="Symbol" w:hAnsi="Symbol" w:hint="default"/>
      </w:rPr>
    </w:lvl>
    <w:lvl w:ilvl="1" w:tplc="E8E08A26">
      <w:start w:val="1"/>
      <w:numFmt w:val="bullet"/>
      <w:lvlText w:val="o"/>
      <w:lvlJc w:val="left"/>
      <w:pPr>
        <w:ind w:left="1440" w:hanging="360"/>
      </w:pPr>
      <w:rPr>
        <w:rFonts w:ascii="Courier New" w:hAnsi="Courier New" w:hint="default"/>
      </w:rPr>
    </w:lvl>
    <w:lvl w:ilvl="2" w:tplc="55448832">
      <w:start w:val="1"/>
      <w:numFmt w:val="bullet"/>
      <w:lvlText w:val=""/>
      <w:lvlJc w:val="left"/>
      <w:pPr>
        <w:ind w:left="2160" w:hanging="360"/>
      </w:pPr>
      <w:rPr>
        <w:rFonts w:ascii="Wingdings" w:hAnsi="Wingdings" w:hint="default"/>
      </w:rPr>
    </w:lvl>
    <w:lvl w:ilvl="3" w:tplc="795C1A22">
      <w:start w:val="1"/>
      <w:numFmt w:val="bullet"/>
      <w:lvlText w:val=""/>
      <w:lvlJc w:val="left"/>
      <w:pPr>
        <w:ind w:left="2880" w:hanging="360"/>
      </w:pPr>
      <w:rPr>
        <w:rFonts w:ascii="Symbol" w:hAnsi="Symbol" w:hint="default"/>
      </w:rPr>
    </w:lvl>
    <w:lvl w:ilvl="4" w:tplc="EB269A36">
      <w:start w:val="1"/>
      <w:numFmt w:val="bullet"/>
      <w:lvlText w:val="o"/>
      <w:lvlJc w:val="left"/>
      <w:pPr>
        <w:ind w:left="3600" w:hanging="360"/>
      </w:pPr>
      <w:rPr>
        <w:rFonts w:ascii="Courier New" w:hAnsi="Courier New" w:hint="default"/>
      </w:rPr>
    </w:lvl>
    <w:lvl w:ilvl="5" w:tplc="7374C1F0">
      <w:start w:val="1"/>
      <w:numFmt w:val="bullet"/>
      <w:lvlText w:val=""/>
      <w:lvlJc w:val="left"/>
      <w:pPr>
        <w:ind w:left="4320" w:hanging="360"/>
      </w:pPr>
      <w:rPr>
        <w:rFonts w:ascii="Wingdings" w:hAnsi="Wingdings" w:hint="default"/>
      </w:rPr>
    </w:lvl>
    <w:lvl w:ilvl="6" w:tplc="8B9EC3E0">
      <w:start w:val="1"/>
      <w:numFmt w:val="bullet"/>
      <w:lvlText w:val=""/>
      <w:lvlJc w:val="left"/>
      <w:pPr>
        <w:ind w:left="5040" w:hanging="360"/>
      </w:pPr>
      <w:rPr>
        <w:rFonts w:ascii="Symbol" w:hAnsi="Symbol" w:hint="default"/>
      </w:rPr>
    </w:lvl>
    <w:lvl w:ilvl="7" w:tplc="09D6C7B0">
      <w:start w:val="1"/>
      <w:numFmt w:val="bullet"/>
      <w:lvlText w:val="o"/>
      <w:lvlJc w:val="left"/>
      <w:pPr>
        <w:ind w:left="5760" w:hanging="360"/>
      </w:pPr>
      <w:rPr>
        <w:rFonts w:ascii="Courier New" w:hAnsi="Courier New" w:hint="default"/>
      </w:rPr>
    </w:lvl>
    <w:lvl w:ilvl="8" w:tplc="3A24D65A">
      <w:start w:val="1"/>
      <w:numFmt w:val="bullet"/>
      <w:lvlText w:val=""/>
      <w:lvlJc w:val="left"/>
      <w:pPr>
        <w:ind w:left="6480" w:hanging="360"/>
      </w:pPr>
      <w:rPr>
        <w:rFonts w:ascii="Wingdings" w:hAnsi="Wingdings" w:hint="default"/>
      </w:rPr>
    </w:lvl>
  </w:abstractNum>
  <w:abstractNum w:abstractNumId="54" w15:restartNumberingAfterBreak="0">
    <w:nsid w:val="5F1734D8"/>
    <w:multiLevelType w:val="multilevel"/>
    <w:tmpl w:val="51AC87BE"/>
    <w:lvl w:ilvl="0">
      <w:start w:val="1"/>
      <w:numFmt w:val="decimal"/>
      <w:lvlText w:val="%1."/>
      <w:lvlJc w:val="left"/>
      <w:pPr>
        <w:ind w:left="579" w:hanging="339"/>
      </w:pPr>
      <w:rPr>
        <w:rFonts w:ascii="Arial" w:hAnsi="Arial" w:hint="default"/>
        <w:b/>
        <w:bCs/>
        <w:spacing w:val="-2"/>
        <w:w w:val="99"/>
        <w:sz w:val="21"/>
        <w:szCs w:val="21"/>
        <w:lang w:val="en-US" w:eastAsia="en-US" w:bidi="ar-SA"/>
      </w:rPr>
    </w:lvl>
    <w:lvl w:ilvl="1">
      <w:start w:val="1"/>
      <w:numFmt w:val="decimal"/>
      <w:lvlText w:val="%1.%2."/>
      <w:lvlJc w:val="left"/>
      <w:pPr>
        <w:ind w:left="960" w:hanging="406"/>
      </w:pPr>
      <w:rPr>
        <w:rFonts w:ascii="Arial" w:hAnsi="Arial" w:hint="default"/>
        <w:b/>
        <w:bCs/>
        <w:spacing w:val="-2"/>
        <w:w w:val="99"/>
        <w:sz w:val="21"/>
        <w:szCs w:val="21"/>
        <w:lang w:val="en-US" w:eastAsia="en-US" w:bidi="ar-SA"/>
      </w:rPr>
    </w:lvl>
    <w:lvl w:ilvl="2">
      <w:numFmt w:val="bullet"/>
      <w:lvlText w:val="•"/>
      <w:lvlJc w:val="left"/>
      <w:pPr>
        <w:ind w:left="1880" w:hanging="406"/>
      </w:pPr>
      <w:rPr>
        <w:rFonts w:hint="default"/>
        <w:lang w:val="en-US" w:eastAsia="en-US" w:bidi="ar-SA"/>
      </w:rPr>
    </w:lvl>
    <w:lvl w:ilvl="3">
      <w:numFmt w:val="bullet"/>
      <w:lvlText w:val="•"/>
      <w:lvlJc w:val="left"/>
      <w:pPr>
        <w:ind w:left="2745" w:hanging="406"/>
      </w:pPr>
      <w:rPr>
        <w:rFonts w:hint="default"/>
        <w:lang w:val="en-US" w:eastAsia="en-US" w:bidi="ar-SA"/>
      </w:rPr>
    </w:lvl>
    <w:lvl w:ilvl="4">
      <w:numFmt w:val="bullet"/>
      <w:lvlText w:val="•"/>
      <w:lvlJc w:val="left"/>
      <w:pPr>
        <w:ind w:left="3610" w:hanging="406"/>
      </w:pPr>
      <w:rPr>
        <w:rFonts w:hint="default"/>
        <w:lang w:val="en-US" w:eastAsia="en-US" w:bidi="ar-SA"/>
      </w:rPr>
    </w:lvl>
    <w:lvl w:ilvl="5">
      <w:numFmt w:val="bullet"/>
      <w:lvlText w:val="•"/>
      <w:lvlJc w:val="left"/>
      <w:pPr>
        <w:ind w:left="4475" w:hanging="406"/>
      </w:pPr>
      <w:rPr>
        <w:rFonts w:hint="default"/>
        <w:lang w:val="en-US" w:eastAsia="en-US" w:bidi="ar-SA"/>
      </w:rPr>
    </w:lvl>
    <w:lvl w:ilvl="6">
      <w:numFmt w:val="bullet"/>
      <w:lvlText w:val="•"/>
      <w:lvlJc w:val="left"/>
      <w:pPr>
        <w:ind w:left="5340" w:hanging="406"/>
      </w:pPr>
      <w:rPr>
        <w:rFonts w:hint="default"/>
        <w:lang w:val="en-US" w:eastAsia="en-US" w:bidi="ar-SA"/>
      </w:rPr>
    </w:lvl>
    <w:lvl w:ilvl="7">
      <w:numFmt w:val="bullet"/>
      <w:lvlText w:val="•"/>
      <w:lvlJc w:val="left"/>
      <w:pPr>
        <w:ind w:left="6205" w:hanging="406"/>
      </w:pPr>
      <w:rPr>
        <w:rFonts w:hint="default"/>
        <w:lang w:val="en-US" w:eastAsia="en-US" w:bidi="ar-SA"/>
      </w:rPr>
    </w:lvl>
    <w:lvl w:ilvl="8">
      <w:numFmt w:val="bullet"/>
      <w:lvlText w:val="•"/>
      <w:lvlJc w:val="left"/>
      <w:pPr>
        <w:ind w:left="7070" w:hanging="406"/>
      </w:pPr>
      <w:rPr>
        <w:rFonts w:hint="default"/>
        <w:lang w:val="en-US" w:eastAsia="en-US" w:bidi="ar-SA"/>
      </w:rPr>
    </w:lvl>
  </w:abstractNum>
  <w:abstractNum w:abstractNumId="55" w15:restartNumberingAfterBreak="0">
    <w:nsid w:val="61972CBD"/>
    <w:multiLevelType w:val="multilevel"/>
    <w:tmpl w:val="51AC87BE"/>
    <w:lvl w:ilvl="0">
      <w:start w:val="1"/>
      <w:numFmt w:val="decimal"/>
      <w:lvlText w:val="%1."/>
      <w:lvlJc w:val="left"/>
      <w:pPr>
        <w:ind w:left="579" w:hanging="339"/>
      </w:pPr>
      <w:rPr>
        <w:rFonts w:ascii="Arial" w:hAnsi="Arial" w:hint="default"/>
        <w:b/>
        <w:bCs/>
        <w:spacing w:val="-2"/>
        <w:w w:val="99"/>
        <w:sz w:val="21"/>
        <w:szCs w:val="21"/>
        <w:lang w:val="en-US" w:eastAsia="en-US" w:bidi="ar-SA"/>
      </w:rPr>
    </w:lvl>
    <w:lvl w:ilvl="1">
      <w:start w:val="1"/>
      <w:numFmt w:val="decimal"/>
      <w:lvlText w:val="%1.%2."/>
      <w:lvlJc w:val="left"/>
      <w:pPr>
        <w:ind w:left="960" w:hanging="406"/>
      </w:pPr>
      <w:rPr>
        <w:rFonts w:ascii="Arial" w:hAnsi="Arial" w:hint="default"/>
        <w:b/>
        <w:bCs/>
        <w:spacing w:val="-2"/>
        <w:w w:val="99"/>
        <w:sz w:val="21"/>
        <w:szCs w:val="21"/>
        <w:lang w:val="en-US" w:eastAsia="en-US" w:bidi="ar-SA"/>
      </w:rPr>
    </w:lvl>
    <w:lvl w:ilvl="2">
      <w:numFmt w:val="bullet"/>
      <w:lvlText w:val="•"/>
      <w:lvlJc w:val="left"/>
      <w:pPr>
        <w:ind w:left="1880" w:hanging="406"/>
      </w:pPr>
      <w:rPr>
        <w:rFonts w:hint="default"/>
        <w:lang w:val="en-US" w:eastAsia="en-US" w:bidi="ar-SA"/>
      </w:rPr>
    </w:lvl>
    <w:lvl w:ilvl="3">
      <w:numFmt w:val="bullet"/>
      <w:lvlText w:val="•"/>
      <w:lvlJc w:val="left"/>
      <w:pPr>
        <w:ind w:left="2745" w:hanging="406"/>
      </w:pPr>
      <w:rPr>
        <w:rFonts w:hint="default"/>
        <w:lang w:val="en-US" w:eastAsia="en-US" w:bidi="ar-SA"/>
      </w:rPr>
    </w:lvl>
    <w:lvl w:ilvl="4">
      <w:numFmt w:val="bullet"/>
      <w:lvlText w:val="•"/>
      <w:lvlJc w:val="left"/>
      <w:pPr>
        <w:ind w:left="3610" w:hanging="406"/>
      </w:pPr>
      <w:rPr>
        <w:rFonts w:hint="default"/>
        <w:lang w:val="en-US" w:eastAsia="en-US" w:bidi="ar-SA"/>
      </w:rPr>
    </w:lvl>
    <w:lvl w:ilvl="5">
      <w:numFmt w:val="bullet"/>
      <w:lvlText w:val="•"/>
      <w:lvlJc w:val="left"/>
      <w:pPr>
        <w:ind w:left="4475" w:hanging="406"/>
      </w:pPr>
      <w:rPr>
        <w:rFonts w:hint="default"/>
        <w:lang w:val="en-US" w:eastAsia="en-US" w:bidi="ar-SA"/>
      </w:rPr>
    </w:lvl>
    <w:lvl w:ilvl="6">
      <w:numFmt w:val="bullet"/>
      <w:lvlText w:val="•"/>
      <w:lvlJc w:val="left"/>
      <w:pPr>
        <w:ind w:left="5340" w:hanging="406"/>
      </w:pPr>
      <w:rPr>
        <w:rFonts w:hint="default"/>
        <w:lang w:val="en-US" w:eastAsia="en-US" w:bidi="ar-SA"/>
      </w:rPr>
    </w:lvl>
    <w:lvl w:ilvl="7">
      <w:numFmt w:val="bullet"/>
      <w:lvlText w:val="•"/>
      <w:lvlJc w:val="left"/>
      <w:pPr>
        <w:ind w:left="6205" w:hanging="406"/>
      </w:pPr>
      <w:rPr>
        <w:rFonts w:hint="default"/>
        <w:lang w:val="en-US" w:eastAsia="en-US" w:bidi="ar-SA"/>
      </w:rPr>
    </w:lvl>
    <w:lvl w:ilvl="8">
      <w:numFmt w:val="bullet"/>
      <w:lvlText w:val="•"/>
      <w:lvlJc w:val="left"/>
      <w:pPr>
        <w:ind w:left="7070" w:hanging="406"/>
      </w:pPr>
      <w:rPr>
        <w:rFonts w:hint="default"/>
        <w:lang w:val="en-US" w:eastAsia="en-US" w:bidi="ar-SA"/>
      </w:rPr>
    </w:lvl>
  </w:abstractNum>
  <w:abstractNum w:abstractNumId="56" w15:restartNumberingAfterBreak="0">
    <w:nsid w:val="62237121"/>
    <w:multiLevelType w:val="multilevel"/>
    <w:tmpl w:val="02220F76"/>
    <w:lvl w:ilvl="0">
      <w:start w:val="1"/>
      <w:numFmt w:val="decimal"/>
      <w:lvlText w:val="%1."/>
      <w:lvlJc w:val="left"/>
      <w:pPr>
        <w:ind w:left="934" w:hanging="360"/>
      </w:pPr>
    </w:lvl>
    <w:lvl w:ilvl="1">
      <w:start w:val="1"/>
      <w:numFmt w:val="decimal"/>
      <w:lvlText w:val="%1.%2."/>
      <w:lvlJc w:val="left"/>
      <w:pPr>
        <w:ind w:left="1654" w:hanging="360"/>
      </w:pPr>
    </w:lvl>
    <w:lvl w:ilvl="2">
      <w:start w:val="1"/>
      <w:numFmt w:val="decimal"/>
      <w:lvlText w:val="%1.%2.%3."/>
      <w:lvlJc w:val="left"/>
      <w:pPr>
        <w:ind w:left="2374" w:hanging="180"/>
      </w:pPr>
    </w:lvl>
    <w:lvl w:ilvl="3">
      <w:start w:val="1"/>
      <w:numFmt w:val="decimal"/>
      <w:lvlText w:val="%1.%2.%3.%4."/>
      <w:lvlJc w:val="left"/>
      <w:pPr>
        <w:ind w:left="3094" w:hanging="360"/>
      </w:pPr>
    </w:lvl>
    <w:lvl w:ilvl="4">
      <w:start w:val="1"/>
      <w:numFmt w:val="decimal"/>
      <w:lvlText w:val="%1.%2.%3.%4.%5."/>
      <w:lvlJc w:val="left"/>
      <w:pPr>
        <w:ind w:left="3814" w:hanging="360"/>
      </w:pPr>
    </w:lvl>
    <w:lvl w:ilvl="5">
      <w:start w:val="1"/>
      <w:numFmt w:val="decimal"/>
      <w:lvlText w:val="%1.%2.%3.%4.%5.%6."/>
      <w:lvlJc w:val="left"/>
      <w:pPr>
        <w:ind w:left="4534" w:hanging="180"/>
      </w:pPr>
    </w:lvl>
    <w:lvl w:ilvl="6">
      <w:start w:val="1"/>
      <w:numFmt w:val="decimal"/>
      <w:lvlText w:val="%1.%2.%3.%4.%5.%6.%7."/>
      <w:lvlJc w:val="left"/>
      <w:pPr>
        <w:ind w:left="5254" w:hanging="360"/>
      </w:pPr>
    </w:lvl>
    <w:lvl w:ilvl="7">
      <w:start w:val="1"/>
      <w:numFmt w:val="decimal"/>
      <w:lvlText w:val="%1.%2.%3.%4.%5.%6.%7.%8."/>
      <w:lvlJc w:val="left"/>
      <w:pPr>
        <w:ind w:left="5974" w:hanging="360"/>
      </w:pPr>
    </w:lvl>
    <w:lvl w:ilvl="8">
      <w:start w:val="1"/>
      <w:numFmt w:val="decimal"/>
      <w:lvlText w:val="%1.%2.%3.%4.%5.%6.%7.%8.%9."/>
      <w:lvlJc w:val="left"/>
      <w:pPr>
        <w:ind w:left="6694" w:hanging="180"/>
      </w:pPr>
    </w:lvl>
  </w:abstractNum>
  <w:abstractNum w:abstractNumId="57" w15:restartNumberingAfterBreak="0">
    <w:nsid w:val="627BF63A"/>
    <w:multiLevelType w:val="hybridMultilevel"/>
    <w:tmpl w:val="FFFFFFFF"/>
    <w:lvl w:ilvl="0" w:tplc="18246E14">
      <w:start w:val="1"/>
      <w:numFmt w:val="lowerRoman"/>
      <w:lvlText w:val="%1."/>
      <w:lvlJc w:val="right"/>
      <w:pPr>
        <w:ind w:left="852" w:hanging="360"/>
      </w:pPr>
    </w:lvl>
    <w:lvl w:ilvl="1" w:tplc="78ACD964">
      <w:start w:val="1"/>
      <w:numFmt w:val="lowerLetter"/>
      <w:lvlText w:val="%2."/>
      <w:lvlJc w:val="left"/>
      <w:pPr>
        <w:ind w:left="1572" w:hanging="360"/>
      </w:pPr>
    </w:lvl>
    <w:lvl w:ilvl="2" w:tplc="5B2657DA">
      <w:start w:val="1"/>
      <w:numFmt w:val="lowerRoman"/>
      <w:lvlText w:val="%3."/>
      <w:lvlJc w:val="right"/>
      <w:pPr>
        <w:ind w:left="2292" w:hanging="180"/>
      </w:pPr>
    </w:lvl>
    <w:lvl w:ilvl="3" w:tplc="D5C6C74A">
      <w:start w:val="1"/>
      <w:numFmt w:val="decimal"/>
      <w:lvlText w:val="%4."/>
      <w:lvlJc w:val="left"/>
      <w:pPr>
        <w:ind w:left="3012" w:hanging="360"/>
      </w:pPr>
    </w:lvl>
    <w:lvl w:ilvl="4" w:tplc="0652D4BA">
      <w:start w:val="1"/>
      <w:numFmt w:val="lowerLetter"/>
      <w:lvlText w:val="%5."/>
      <w:lvlJc w:val="left"/>
      <w:pPr>
        <w:ind w:left="3732" w:hanging="360"/>
      </w:pPr>
    </w:lvl>
    <w:lvl w:ilvl="5" w:tplc="A07A13FE">
      <w:start w:val="1"/>
      <w:numFmt w:val="lowerRoman"/>
      <w:lvlText w:val="%6."/>
      <w:lvlJc w:val="right"/>
      <w:pPr>
        <w:ind w:left="4452" w:hanging="180"/>
      </w:pPr>
    </w:lvl>
    <w:lvl w:ilvl="6" w:tplc="7AC2CA06">
      <w:start w:val="1"/>
      <w:numFmt w:val="decimal"/>
      <w:lvlText w:val="%7."/>
      <w:lvlJc w:val="left"/>
      <w:pPr>
        <w:ind w:left="5172" w:hanging="360"/>
      </w:pPr>
    </w:lvl>
    <w:lvl w:ilvl="7" w:tplc="EC82C698">
      <w:start w:val="1"/>
      <w:numFmt w:val="lowerLetter"/>
      <w:lvlText w:val="%8."/>
      <w:lvlJc w:val="left"/>
      <w:pPr>
        <w:ind w:left="5892" w:hanging="360"/>
      </w:pPr>
    </w:lvl>
    <w:lvl w:ilvl="8" w:tplc="447256A4">
      <w:start w:val="1"/>
      <w:numFmt w:val="lowerRoman"/>
      <w:lvlText w:val="%9."/>
      <w:lvlJc w:val="right"/>
      <w:pPr>
        <w:ind w:left="6612" w:hanging="180"/>
      </w:pPr>
    </w:lvl>
  </w:abstractNum>
  <w:abstractNum w:abstractNumId="58" w15:restartNumberingAfterBreak="0">
    <w:nsid w:val="64DD5862"/>
    <w:multiLevelType w:val="hybridMultilevel"/>
    <w:tmpl w:val="0940445A"/>
    <w:lvl w:ilvl="0" w:tplc="A8CC3A50">
      <w:numFmt w:val="none"/>
      <w:lvlText w:val=""/>
      <w:lvlJc w:val="left"/>
      <w:pPr>
        <w:tabs>
          <w:tab w:val="num" w:pos="360"/>
        </w:tabs>
      </w:pPr>
    </w:lvl>
    <w:lvl w:ilvl="1" w:tplc="800CC918">
      <w:start w:val="1"/>
      <w:numFmt w:val="lowerLetter"/>
      <w:lvlText w:val="%2."/>
      <w:lvlJc w:val="left"/>
      <w:pPr>
        <w:ind w:left="1800" w:hanging="360"/>
      </w:pPr>
    </w:lvl>
    <w:lvl w:ilvl="2" w:tplc="560460D0">
      <w:start w:val="1"/>
      <w:numFmt w:val="lowerRoman"/>
      <w:lvlText w:val="%3."/>
      <w:lvlJc w:val="right"/>
      <w:pPr>
        <w:ind w:left="2520" w:hanging="180"/>
      </w:pPr>
    </w:lvl>
    <w:lvl w:ilvl="3" w:tplc="A3B2815C">
      <w:start w:val="1"/>
      <w:numFmt w:val="decimal"/>
      <w:lvlText w:val="%4."/>
      <w:lvlJc w:val="left"/>
      <w:pPr>
        <w:ind w:left="3240" w:hanging="360"/>
      </w:pPr>
    </w:lvl>
    <w:lvl w:ilvl="4" w:tplc="4F12E586">
      <w:start w:val="1"/>
      <w:numFmt w:val="lowerLetter"/>
      <w:lvlText w:val="%5."/>
      <w:lvlJc w:val="left"/>
      <w:pPr>
        <w:ind w:left="3960" w:hanging="360"/>
      </w:pPr>
    </w:lvl>
    <w:lvl w:ilvl="5" w:tplc="D4927B3E">
      <w:start w:val="1"/>
      <w:numFmt w:val="lowerRoman"/>
      <w:lvlText w:val="%6."/>
      <w:lvlJc w:val="right"/>
      <w:pPr>
        <w:ind w:left="4680" w:hanging="180"/>
      </w:pPr>
    </w:lvl>
    <w:lvl w:ilvl="6" w:tplc="7D721F72">
      <w:start w:val="1"/>
      <w:numFmt w:val="decimal"/>
      <w:lvlText w:val="%7."/>
      <w:lvlJc w:val="left"/>
      <w:pPr>
        <w:ind w:left="5400" w:hanging="360"/>
      </w:pPr>
    </w:lvl>
    <w:lvl w:ilvl="7" w:tplc="9D52EF0E">
      <w:start w:val="1"/>
      <w:numFmt w:val="lowerLetter"/>
      <w:lvlText w:val="%8."/>
      <w:lvlJc w:val="left"/>
      <w:pPr>
        <w:ind w:left="6120" w:hanging="360"/>
      </w:pPr>
    </w:lvl>
    <w:lvl w:ilvl="8" w:tplc="B6206828">
      <w:start w:val="1"/>
      <w:numFmt w:val="lowerRoman"/>
      <w:lvlText w:val="%9."/>
      <w:lvlJc w:val="right"/>
      <w:pPr>
        <w:ind w:left="6840" w:hanging="180"/>
      </w:pPr>
    </w:lvl>
  </w:abstractNum>
  <w:abstractNum w:abstractNumId="59" w15:restartNumberingAfterBreak="0">
    <w:nsid w:val="653CD4A8"/>
    <w:multiLevelType w:val="hybridMultilevel"/>
    <w:tmpl w:val="B888D542"/>
    <w:lvl w:ilvl="0" w:tplc="FD0A2AD6">
      <w:start w:val="1"/>
      <w:numFmt w:val="bullet"/>
      <w:lvlText w:val="·"/>
      <w:lvlJc w:val="left"/>
      <w:pPr>
        <w:ind w:left="720" w:hanging="360"/>
      </w:pPr>
      <w:rPr>
        <w:rFonts w:ascii="Symbol" w:hAnsi="Symbol" w:hint="default"/>
      </w:rPr>
    </w:lvl>
    <w:lvl w:ilvl="1" w:tplc="BC048B96">
      <w:start w:val="1"/>
      <w:numFmt w:val="bullet"/>
      <w:lvlText w:val="o"/>
      <w:lvlJc w:val="left"/>
      <w:pPr>
        <w:ind w:left="1440" w:hanging="360"/>
      </w:pPr>
      <w:rPr>
        <w:rFonts w:ascii="Courier New" w:hAnsi="Courier New" w:hint="default"/>
      </w:rPr>
    </w:lvl>
    <w:lvl w:ilvl="2" w:tplc="A2B6D2E6">
      <w:start w:val="1"/>
      <w:numFmt w:val="bullet"/>
      <w:lvlText w:val=""/>
      <w:lvlJc w:val="left"/>
      <w:pPr>
        <w:ind w:left="2160" w:hanging="360"/>
      </w:pPr>
      <w:rPr>
        <w:rFonts w:ascii="Wingdings" w:hAnsi="Wingdings" w:hint="default"/>
      </w:rPr>
    </w:lvl>
    <w:lvl w:ilvl="3" w:tplc="7F38E606">
      <w:start w:val="1"/>
      <w:numFmt w:val="bullet"/>
      <w:lvlText w:val=""/>
      <w:lvlJc w:val="left"/>
      <w:pPr>
        <w:ind w:left="2880" w:hanging="360"/>
      </w:pPr>
      <w:rPr>
        <w:rFonts w:ascii="Symbol" w:hAnsi="Symbol" w:hint="default"/>
      </w:rPr>
    </w:lvl>
    <w:lvl w:ilvl="4" w:tplc="1BC46D26">
      <w:start w:val="1"/>
      <w:numFmt w:val="bullet"/>
      <w:lvlText w:val="o"/>
      <w:lvlJc w:val="left"/>
      <w:pPr>
        <w:ind w:left="3600" w:hanging="360"/>
      </w:pPr>
      <w:rPr>
        <w:rFonts w:ascii="Courier New" w:hAnsi="Courier New" w:hint="default"/>
      </w:rPr>
    </w:lvl>
    <w:lvl w:ilvl="5" w:tplc="AF68BE02">
      <w:start w:val="1"/>
      <w:numFmt w:val="bullet"/>
      <w:lvlText w:val=""/>
      <w:lvlJc w:val="left"/>
      <w:pPr>
        <w:ind w:left="4320" w:hanging="360"/>
      </w:pPr>
      <w:rPr>
        <w:rFonts w:ascii="Wingdings" w:hAnsi="Wingdings" w:hint="default"/>
      </w:rPr>
    </w:lvl>
    <w:lvl w:ilvl="6" w:tplc="F9E203FE">
      <w:start w:val="1"/>
      <w:numFmt w:val="bullet"/>
      <w:lvlText w:val=""/>
      <w:lvlJc w:val="left"/>
      <w:pPr>
        <w:ind w:left="5040" w:hanging="360"/>
      </w:pPr>
      <w:rPr>
        <w:rFonts w:ascii="Symbol" w:hAnsi="Symbol" w:hint="default"/>
      </w:rPr>
    </w:lvl>
    <w:lvl w:ilvl="7" w:tplc="9E62800C">
      <w:start w:val="1"/>
      <w:numFmt w:val="bullet"/>
      <w:lvlText w:val="o"/>
      <w:lvlJc w:val="left"/>
      <w:pPr>
        <w:ind w:left="5760" w:hanging="360"/>
      </w:pPr>
      <w:rPr>
        <w:rFonts w:ascii="Courier New" w:hAnsi="Courier New" w:hint="default"/>
      </w:rPr>
    </w:lvl>
    <w:lvl w:ilvl="8" w:tplc="C9AC52AE">
      <w:start w:val="1"/>
      <w:numFmt w:val="bullet"/>
      <w:lvlText w:val=""/>
      <w:lvlJc w:val="left"/>
      <w:pPr>
        <w:ind w:left="6480" w:hanging="360"/>
      </w:pPr>
      <w:rPr>
        <w:rFonts w:ascii="Wingdings" w:hAnsi="Wingdings" w:hint="default"/>
      </w:rPr>
    </w:lvl>
  </w:abstractNum>
  <w:abstractNum w:abstractNumId="60" w15:restartNumberingAfterBreak="0">
    <w:nsid w:val="6A67D2EF"/>
    <w:multiLevelType w:val="hybridMultilevel"/>
    <w:tmpl w:val="2B1ACAE0"/>
    <w:lvl w:ilvl="0" w:tplc="7FE2778E">
      <w:numFmt w:val="none"/>
      <w:lvlText w:val=""/>
      <w:lvlJc w:val="left"/>
      <w:pPr>
        <w:tabs>
          <w:tab w:val="num" w:pos="360"/>
        </w:tabs>
      </w:pPr>
    </w:lvl>
    <w:lvl w:ilvl="1" w:tplc="F4AC12E4">
      <w:start w:val="1"/>
      <w:numFmt w:val="lowerLetter"/>
      <w:lvlText w:val="%2."/>
      <w:lvlJc w:val="left"/>
      <w:pPr>
        <w:ind w:left="1634" w:hanging="360"/>
      </w:pPr>
    </w:lvl>
    <w:lvl w:ilvl="2" w:tplc="2282244A">
      <w:start w:val="1"/>
      <w:numFmt w:val="lowerRoman"/>
      <w:lvlText w:val="%3."/>
      <w:lvlJc w:val="right"/>
      <w:pPr>
        <w:ind w:left="2354" w:hanging="180"/>
      </w:pPr>
    </w:lvl>
    <w:lvl w:ilvl="3" w:tplc="9FF02B1A">
      <w:start w:val="1"/>
      <w:numFmt w:val="decimal"/>
      <w:lvlText w:val="%4."/>
      <w:lvlJc w:val="left"/>
      <w:pPr>
        <w:ind w:left="3074" w:hanging="360"/>
      </w:pPr>
    </w:lvl>
    <w:lvl w:ilvl="4" w:tplc="DE90DAA6">
      <w:start w:val="1"/>
      <w:numFmt w:val="lowerLetter"/>
      <w:lvlText w:val="%5."/>
      <w:lvlJc w:val="left"/>
      <w:pPr>
        <w:ind w:left="3794" w:hanging="360"/>
      </w:pPr>
    </w:lvl>
    <w:lvl w:ilvl="5" w:tplc="B2A014E4">
      <w:start w:val="1"/>
      <w:numFmt w:val="lowerRoman"/>
      <w:lvlText w:val="%6."/>
      <w:lvlJc w:val="right"/>
      <w:pPr>
        <w:ind w:left="4514" w:hanging="180"/>
      </w:pPr>
    </w:lvl>
    <w:lvl w:ilvl="6" w:tplc="B14ADA1C">
      <w:start w:val="1"/>
      <w:numFmt w:val="decimal"/>
      <w:lvlText w:val="%7."/>
      <w:lvlJc w:val="left"/>
      <w:pPr>
        <w:ind w:left="5234" w:hanging="360"/>
      </w:pPr>
    </w:lvl>
    <w:lvl w:ilvl="7" w:tplc="FBC086F2">
      <w:start w:val="1"/>
      <w:numFmt w:val="lowerLetter"/>
      <w:lvlText w:val="%8."/>
      <w:lvlJc w:val="left"/>
      <w:pPr>
        <w:ind w:left="5954" w:hanging="360"/>
      </w:pPr>
    </w:lvl>
    <w:lvl w:ilvl="8" w:tplc="5B9CEC52">
      <w:start w:val="1"/>
      <w:numFmt w:val="lowerRoman"/>
      <w:lvlText w:val="%9."/>
      <w:lvlJc w:val="right"/>
      <w:pPr>
        <w:ind w:left="6674" w:hanging="180"/>
      </w:pPr>
    </w:lvl>
  </w:abstractNum>
  <w:abstractNum w:abstractNumId="61" w15:restartNumberingAfterBreak="0">
    <w:nsid w:val="6B747E20"/>
    <w:multiLevelType w:val="hybridMultilevel"/>
    <w:tmpl w:val="E7D8C766"/>
    <w:lvl w:ilvl="0" w:tplc="2F52CF38">
      <w:start w:val="1"/>
      <w:numFmt w:val="bullet"/>
      <w:lvlText w:val="•"/>
      <w:lvlJc w:val="left"/>
      <w:pPr>
        <w:tabs>
          <w:tab w:val="num" w:pos="720"/>
        </w:tabs>
        <w:ind w:left="720" w:hanging="360"/>
      </w:pPr>
      <w:rPr>
        <w:rFonts w:ascii="Arial" w:hAnsi="Arial" w:hint="default"/>
      </w:rPr>
    </w:lvl>
    <w:lvl w:ilvl="1" w:tplc="213EC7CC">
      <w:numFmt w:val="bullet"/>
      <w:lvlText w:val="•"/>
      <w:lvlJc w:val="left"/>
      <w:pPr>
        <w:tabs>
          <w:tab w:val="num" w:pos="1440"/>
        </w:tabs>
        <w:ind w:left="1440" w:hanging="360"/>
      </w:pPr>
      <w:rPr>
        <w:rFonts w:ascii="Arial" w:hAnsi="Arial" w:hint="default"/>
      </w:rPr>
    </w:lvl>
    <w:lvl w:ilvl="2" w:tplc="80081DF8" w:tentative="1">
      <w:start w:val="1"/>
      <w:numFmt w:val="bullet"/>
      <w:lvlText w:val="•"/>
      <w:lvlJc w:val="left"/>
      <w:pPr>
        <w:tabs>
          <w:tab w:val="num" w:pos="2160"/>
        </w:tabs>
        <w:ind w:left="2160" w:hanging="360"/>
      </w:pPr>
      <w:rPr>
        <w:rFonts w:ascii="Arial" w:hAnsi="Arial" w:hint="default"/>
      </w:rPr>
    </w:lvl>
    <w:lvl w:ilvl="3" w:tplc="FEE07ED8" w:tentative="1">
      <w:start w:val="1"/>
      <w:numFmt w:val="bullet"/>
      <w:lvlText w:val="•"/>
      <w:lvlJc w:val="left"/>
      <w:pPr>
        <w:tabs>
          <w:tab w:val="num" w:pos="2880"/>
        </w:tabs>
        <w:ind w:left="2880" w:hanging="360"/>
      </w:pPr>
      <w:rPr>
        <w:rFonts w:ascii="Arial" w:hAnsi="Arial" w:hint="default"/>
      </w:rPr>
    </w:lvl>
    <w:lvl w:ilvl="4" w:tplc="C7EE6D8E" w:tentative="1">
      <w:start w:val="1"/>
      <w:numFmt w:val="bullet"/>
      <w:lvlText w:val="•"/>
      <w:lvlJc w:val="left"/>
      <w:pPr>
        <w:tabs>
          <w:tab w:val="num" w:pos="3600"/>
        </w:tabs>
        <w:ind w:left="3600" w:hanging="360"/>
      </w:pPr>
      <w:rPr>
        <w:rFonts w:ascii="Arial" w:hAnsi="Arial" w:hint="default"/>
      </w:rPr>
    </w:lvl>
    <w:lvl w:ilvl="5" w:tplc="6E9608A4" w:tentative="1">
      <w:start w:val="1"/>
      <w:numFmt w:val="bullet"/>
      <w:lvlText w:val="•"/>
      <w:lvlJc w:val="left"/>
      <w:pPr>
        <w:tabs>
          <w:tab w:val="num" w:pos="4320"/>
        </w:tabs>
        <w:ind w:left="4320" w:hanging="360"/>
      </w:pPr>
      <w:rPr>
        <w:rFonts w:ascii="Arial" w:hAnsi="Arial" w:hint="default"/>
      </w:rPr>
    </w:lvl>
    <w:lvl w:ilvl="6" w:tplc="D6CCF280" w:tentative="1">
      <w:start w:val="1"/>
      <w:numFmt w:val="bullet"/>
      <w:lvlText w:val="•"/>
      <w:lvlJc w:val="left"/>
      <w:pPr>
        <w:tabs>
          <w:tab w:val="num" w:pos="5040"/>
        </w:tabs>
        <w:ind w:left="5040" w:hanging="360"/>
      </w:pPr>
      <w:rPr>
        <w:rFonts w:ascii="Arial" w:hAnsi="Arial" w:hint="default"/>
      </w:rPr>
    </w:lvl>
    <w:lvl w:ilvl="7" w:tplc="993E8BA0" w:tentative="1">
      <w:start w:val="1"/>
      <w:numFmt w:val="bullet"/>
      <w:lvlText w:val="•"/>
      <w:lvlJc w:val="left"/>
      <w:pPr>
        <w:tabs>
          <w:tab w:val="num" w:pos="5760"/>
        </w:tabs>
        <w:ind w:left="5760" w:hanging="360"/>
      </w:pPr>
      <w:rPr>
        <w:rFonts w:ascii="Arial" w:hAnsi="Arial" w:hint="default"/>
      </w:rPr>
    </w:lvl>
    <w:lvl w:ilvl="8" w:tplc="12E8CC46" w:tentative="1">
      <w:start w:val="1"/>
      <w:numFmt w:val="bullet"/>
      <w:lvlText w:val="•"/>
      <w:lvlJc w:val="left"/>
      <w:pPr>
        <w:tabs>
          <w:tab w:val="num" w:pos="6480"/>
        </w:tabs>
        <w:ind w:left="6480" w:hanging="360"/>
      </w:pPr>
      <w:rPr>
        <w:rFonts w:ascii="Arial" w:hAnsi="Arial" w:hint="default"/>
      </w:rPr>
    </w:lvl>
  </w:abstractNum>
  <w:abstractNum w:abstractNumId="62" w15:restartNumberingAfterBreak="0">
    <w:nsid w:val="6C64CD64"/>
    <w:multiLevelType w:val="multilevel"/>
    <w:tmpl w:val="6FDCB144"/>
    <w:lvl w:ilvl="0">
      <w:numFmt w:val="none"/>
      <w:lvlText w:val=""/>
      <w:lvlJc w:val="left"/>
      <w:pPr>
        <w:tabs>
          <w:tab w:val="num" w:pos="360"/>
        </w:tabs>
      </w:pPr>
    </w:lvl>
    <w:lvl w:ilvl="1">
      <w:start w:val="1"/>
      <w:numFmt w:val="lowerLetter"/>
      <w:lvlText w:val="%2."/>
      <w:lvlJc w:val="left"/>
      <w:pPr>
        <w:ind w:left="1634" w:hanging="360"/>
      </w:pPr>
    </w:lvl>
    <w:lvl w:ilvl="2">
      <w:start w:val="1"/>
      <w:numFmt w:val="lowerRoman"/>
      <w:lvlText w:val="%3."/>
      <w:lvlJc w:val="right"/>
      <w:pPr>
        <w:ind w:left="2354" w:hanging="180"/>
      </w:pPr>
    </w:lvl>
    <w:lvl w:ilvl="3">
      <w:start w:val="1"/>
      <w:numFmt w:val="decimal"/>
      <w:lvlText w:val="%4."/>
      <w:lvlJc w:val="left"/>
      <w:pPr>
        <w:ind w:left="3074" w:hanging="360"/>
      </w:pPr>
    </w:lvl>
    <w:lvl w:ilvl="4">
      <w:start w:val="1"/>
      <w:numFmt w:val="lowerLetter"/>
      <w:lvlText w:val="%5."/>
      <w:lvlJc w:val="left"/>
      <w:pPr>
        <w:ind w:left="3794" w:hanging="360"/>
      </w:pPr>
    </w:lvl>
    <w:lvl w:ilvl="5">
      <w:start w:val="1"/>
      <w:numFmt w:val="lowerRoman"/>
      <w:lvlText w:val="%6."/>
      <w:lvlJc w:val="right"/>
      <w:pPr>
        <w:ind w:left="4514" w:hanging="180"/>
      </w:pPr>
    </w:lvl>
    <w:lvl w:ilvl="6">
      <w:start w:val="1"/>
      <w:numFmt w:val="decimal"/>
      <w:lvlText w:val="%7."/>
      <w:lvlJc w:val="left"/>
      <w:pPr>
        <w:ind w:left="5234" w:hanging="360"/>
      </w:pPr>
    </w:lvl>
    <w:lvl w:ilvl="7">
      <w:start w:val="1"/>
      <w:numFmt w:val="lowerLetter"/>
      <w:lvlText w:val="%8."/>
      <w:lvlJc w:val="left"/>
      <w:pPr>
        <w:ind w:left="5954" w:hanging="360"/>
      </w:pPr>
    </w:lvl>
    <w:lvl w:ilvl="8">
      <w:start w:val="1"/>
      <w:numFmt w:val="lowerRoman"/>
      <w:lvlText w:val="%9."/>
      <w:lvlJc w:val="right"/>
      <w:pPr>
        <w:ind w:left="6674" w:hanging="180"/>
      </w:pPr>
    </w:lvl>
  </w:abstractNum>
  <w:abstractNum w:abstractNumId="63" w15:restartNumberingAfterBreak="0">
    <w:nsid w:val="6CFA1E1E"/>
    <w:multiLevelType w:val="hybridMultilevel"/>
    <w:tmpl w:val="B82634BC"/>
    <w:lvl w:ilvl="0" w:tplc="97F40AC8">
      <w:start w:val="1"/>
      <w:numFmt w:val="lowerLetter"/>
      <w:lvlText w:val="%1."/>
      <w:lvlJc w:val="left"/>
      <w:pPr>
        <w:ind w:left="852" w:hanging="360"/>
      </w:pPr>
    </w:lvl>
    <w:lvl w:ilvl="1" w:tplc="10CCE800">
      <w:start w:val="1"/>
      <w:numFmt w:val="lowerLetter"/>
      <w:lvlText w:val="%2."/>
      <w:lvlJc w:val="left"/>
      <w:pPr>
        <w:ind w:left="1572" w:hanging="360"/>
      </w:pPr>
    </w:lvl>
    <w:lvl w:ilvl="2" w:tplc="0AD27560">
      <w:start w:val="1"/>
      <w:numFmt w:val="lowerRoman"/>
      <w:lvlText w:val="%3."/>
      <w:lvlJc w:val="right"/>
      <w:pPr>
        <w:ind w:left="2292" w:hanging="180"/>
      </w:pPr>
    </w:lvl>
    <w:lvl w:ilvl="3" w:tplc="5F4AF1DE">
      <w:start w:val="1"/>
      <w:numFmt w:val="decimal"/>
      <w:lvlText w:val="%4."/>
      <w:lvlJc w:val="left"/>
      <w:pPr>
        <w:ind w:left="3012" w:hanging="360"/>
      </w:pPr>
    </w:lvl>
    <w:lvl w:ilvl="4" w:tplc="89CA90B6">
      <w:start w:val="1"/>
      <w:numFmt w:val="lowerLetter"/>
      <w:lvlText w:val="%5."/>
      <w:lvlJc w:val="left"/>
      <w:pPr>
        <w:ind w:left="3732" w:hanging="360"/>
      </w:pPr>
    </w:lvl>
    <w:lvl w:ilvl="5" w:tplc="2B780842">
      <w:start w:val="1"/>
      <w:numFmt w:val="lowerRoman"/>
      <w:lvlText w:val="%6."/>
      <w:lvlJc w:val="right"/>
      <w:pPr>
        <w:ind w:left="4452" w:hanging="180"/>
      </w:pPr>
    </w:lvl>
    <w:lvl w:ilvl="6" w:tplc="0DD27FF0">
      <w:start w:val="1"/>
      <w:numFmt w:val="decimal"/>
      <w:lvlText w:val="%7."/>
      <w:lvlJc w:val="left"/>
      <w:pPr>
        <w:ind w:left="5172" w:hanging="360"/>
      </w:pPr>
    </w:lvl>
    <w:lvl w:ilvl="7" w:tplc="8AF2F94C">
      <w:start w:val="1"/>
      <w:numFmt w:val="lowerLetter"/>
      <w:lvlText w:val="%8."/>
      <w:lvlJc w:val="left"/>
      <w:pPr>
        <w:ind w:left="5892" w:hanging="360"/>
      </w:pPr>
    </w:lvl>
    <w:lvl w:ilvl="8" w:tplc="778C9B8E">
      <w:start w:val="1"/>
      <w:numFmt w:val="lowerRoman"/>
      <w:lvlText w:val="%9."/>
      <w:lvlJc w:val="right"/>
      <w:pPr>
        <w:ind w:left="6612" w:hanging="180"/>
      </w:pPr>
    </w:lvl>
  </w:abstractNum>
  <w:abstractNum w:abstractNumId="64" w15:restartNumberingAfterBreak="0">
    <w:nsid w:val="6D9B184A"/>
    <w:multiLevelType w:val="hybridMultilevel"/>
    <w:tmpl w:val="3E98B6B8"/>
    <w:lvl w:ilvl="0" w:tplc="04090001">
      <w:start w:val="1"/>
      <w:numFmt w:val="bullet"/>
      <w:lvlText w:val=""/>
      <w:lvlJc w:val="left"/>
      <w:pPr>
        <w:ind w:left="1212" w:hanging="360"/>
      </w:pPr>
      <w:rPr>
        <w:rFonts w:ascii="Symbol" w:hAnsi="Symbol"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65" w15:restartNumberingAfterBreak="0">
    <w:nsid w:val="707215A4"/>
    <w:multiLevelType w:val="hybridMultilevel"/>
    <w:tmpl w:val="F120189A"/>
    <w:lvl w:ilvl="0" w:tplc="198C86BC">
      <w:start w:val="1"/>
      <w:numFmt w:val="bullet"/>
      <w:lvlText w:val="•"/>
      <w:lvlJc w:val="left"/>
      <w:pPr>
        <w:tabs>
          <w:tab w:val="num" w:pos="720"/>
        </w:tabs>
        <w:ind w:left="720" w:hanging="360"/>
      </w:pPr>
      <w:rPr>
        <w:rFonts w:ascii="Arial" w:hAnsi="Arial" w:hint="default"/>
      </w:rPr>
    </w:lvl>
    <w:lvl w:ilvl="1" w:tplc="78DE456C">
      <w:numFmt w:val="bullet"/>
      <w:lvlText w:val="•"/>
      <w:lvlJc w:val="left"/>
      <w:pPr>
        <w:tabs>
          <w:tab w:val="num" w:pos="1440"/>
        </w:tabs>
        <w:ind w:left="1440" w:hanging="360"/>
      </w:pPr>
      <w:rPr>
        <w:rFonts w:ascii="Arial" w:hAnsi="Arial" w:hint="default"/>
      </w:rPr>
    </w:lvl>
    <w:lvl w:ilvl="2" w:tplc="D36EAC86" w:tentative="1">
      <w:start w:val="1"/>
      <w:numFmt w:val="bullet"/>
      <w:lvlText w:val="•"/>
      <w:lvlJc w:val="left"/>
      <w:pPr>
        <w:tabs>
          <w:tab w:val="num" w:pos="2160"/>
        </w:tabs>
        <w:ind w:left="2160" w:hanging="360"/>
      </w:pPr>
      <w:rPr>
        <w:rFonts w:ascii="Arial" w:hAnsi="Arial" w:hint="default"/>
      </w:rPr>
    </w:lvl>
    <w:lvl w:ilvl="3" w:tplc="289A0A00" w:tentative="1">
      <w:start w:val="1"/>
      <w:numFmt w:val="bullet"/>
      <w:lvlText w:val="•"/>
      <w:lvlJc w:val="left"/>
      <w:pPr>
        <w:tabs>
          <w:tab w:val="num" w:pos="2880"/>
        </w:tabs>
        <w:ind w:left="2880" w:hanging="360"/>
      </w:pPr>
      <w:rPr>
        <w:rFonts w:ascii="Arial" w:hAnsi="Arial" w:hint="default"/>
      </w:rPr>
    </w:lvl>
    <w:lvl w:ilvl="4" w:tplc="F8125BF2" w:tentative="1">
      <w:start w:val="1"/>
      <w:numFmt w:val="bullet"/>
      <w:lvlText w:val="•"/>
      <w:lvlJc w:val="left"/>
      <w:pPr>
        <w:tabs>
          <w:tab w:val="num" w:pos="3600"/>
        </w:tabs>
        <w:ind w:left="3600" w:hanging="360"/>
      </w:pPr>
      <w:rPr>
        <w:rFonts w:ascii="Arial" w:hAnsi="Arial" w:hint="default"/>
      </w:rPr>
    </w:lvl>
    <w:lvl w:ilvl="5" w:tplc="C5501E48" w:tentative="1">
      <w:start w:val="1"/>
      <w:numFmt w:val="bullet"/>
      <w:lvlText w:val="•"/>
      <w:lvlJc w:val="left"/>
      <w:pPr>
        <w:tabs>
          <w:tab w:val="num" w:pos="4320"/>
        </w:tabs>
        <w:ind w:left="4320" w:hanging="360"/>
      </w:pPr>
      <w:rPr>
        <w:rFonts w:ascii="Arial" w:hAnsi="Arial" w:hint="default"/>
      </w:rPr>
    </w:lvl>
    <w:lvl w:ilvl="6" w:tplc="27C06C8C" w:tentative="1">
      <w:start w:val="1"/>
      <w:numFmt w:val="bullet"/>
      <w:lvlText w:val="•"/>
      <w:lvlJc w:val="left"/>
      <w:pPr>
        <w:tabs>
          <w:tab w:val="num" w:pos="5040"/>
        </w:tabs>
        <w:ind w:left="5040" w:hanging="360"/>
      </w:pPr>
      <w:rPr>
        <w:rFonts w:ascii="Arial" w:hAnsi="Arial" w:hint="default"/>
      </w:rPr>
    </w:lvl>
    <w:lvl w:ilvl="7" w:tplc="CEDC8500" w:tentative="1">
      <w:start w:val="1"/>
      <w:numFmt w:val="bullet"/>
      <w:lvlText w:val="•"/>
      <w:lvlJc w:val="left"/>
      <w:pPr>
        <w:tabs>
          <w:tab w:val="num" w:pos="5760"/>
        </w:tabs>
        <w:ind w:left="5760" w:hanging="360"/>
      </w:pPr>
      <w:rPr>
        <w:rFonts w:ascii="Arial" w:hAnsi="Arial" w:hint="default"/>
      </w:rPr>
    </w:lvl>
    <w:lvl w:ilvl="8" w:tplc="E812AB5C" w:tentative="1">
      <w:start w:val="1"/>
      <w:numFmt w:val="bullet"/>
      <w:lvlText w:val="•"/>
      <w:lvlJc w:val="left"/>
      <w:pPr>
        <w:tabs>
          <w:tab w:val="num" w:pos="6480"/>
        </w:tabs>
        <w:ind w:left="6480" w:hanging="360"/>
      </w:pPr>
      <w:rPr>
        <w:rFonts w:ascii="Arial" w:hAnsi="Arial" w:hint="default"/>
      </w:rPr>
    </w:lvl>
  </w:abstractNum>
  <w:abstractNum w:abstractNumId="66" w15:restartNumberingAfterBreak="0">
    <w:nsid w:val="71227142"/>
    <w:multiLevelType w:val="hybridMultilevel"/>
    <w:tmpl w:val="97C27050"/>
    <w:lvl w:ilvl="0" w:tplc="E5AC882C">
      <w:start w:val="2"/>
      <w:numFmt w:val="bullet"/>
      <w:lvlText w:val="-"/>
      <w:lvlJc w:val="left"/>
      <w:pPr>
        <w:ind w:left="1191" w:hanging="360"/>
      </w:pPr>
      <w:rPr>
        <w:rFonts w:ascii="Arial" w:eastAsia="Arial MT" w:hAnsi="Arial" w:cs="Arial" w:hint="default"/>
      </w:rPr>
    </w:lvl>
    <w:lvl w:ilvl="1" w:tplc="1C090003" w:tentative="1">
      <w:start w:val="1"/>
      <w:numFmt w:val="bullet"/>
      <w:lvlText w:val="o"/>
      <w:lvlJc w:val="left"/>
      <w:pPr>
        <w:ind w:left="1911" w:hanging="360"/>
      </w:pPr>
      <w:rPr>
        <w:rFonts w:ascii="Courier New" w:hAnsi="Courier New" w:cs="Courier New" w:hint="default"/>
      </w:rPr>
    </w:lvl>
    <w:lvl w:ilvl="2" w:tplc="1C090005" w:tentative="1">
      <w:start w:val="1"/>
      <w:numFmt w:val="bullet"/>
      <w:lvlText w:val=""/>
      <w:lvlJc w:val="left"/>
      <w:pPr>
        <w:ind w:left="2631" w:hanging="360"/>
      </w:pPr>
      <w:rPr>
        <w:rFonts w:ascii="Wingdings" w:hAnsi="Wingdings" w:hint="default"/>
      </w:rPr>
    </w:lvl>
    <w:lvl w:ilvl="3" w:tplc="1C090001" w:tentative="1">
      <w:start w:val="1"/>
      <w:numFmt w:val="bullet"/>
      <w:lvlText w:val=""/>
      <w:lvlJc w:val="left"/>
      <w:pPr>
        <w:ind w:left="3351" w:hanging="360"/>
      </w:pPr>
      <w:rPr>
        <w:rFonts w:ascii="Symbol" w:hAnsi="Symbol" w:hint="default"/>
      </w:rPr>
    </w:lvl>
    <w:lvl w:ilvl="4" w:tplc="1C090003" w:tentative="1">
      <w:start w:val="1"/>
      <w:numFmt w:val="bullet"/>
      <w:lvlText w:val="o"/>
      <w:lvlJc w:val="left"/>
      <w:pPr>
        <w:ind w:left="4071" w:hanging="360"/>
      </w:pPr>
      <w:rPr>
        <w:rFonts w:ascii="Courier New" w:hAnsi="Courier New" w:cs="Courier New" w:hint="default"/>
      </w:rPr>
    </w:lvl>
    <w:lvl w:ilvl="5" w:tplc="1C090005" w:tentative="1">
      <w:start w:val="1"/>
      <w:numFmt w:val="bullet"/>
      <w:lvlText w:val=""/>
      <w:lvlJc w:val="left"/>
      <w:pPr>
        <w:ind w:left="4791" w:hanging="360"/>
      </w:pPr>
      <w:rPr>
        <w:rFonts w:ascii="Wingdings" w:hAnsi="Wingdings" w:hint="default"/>
      </w:rPr>
    </w:lvl>
    <w:lvl w:ilvl="6" w:tplc="1C090001" w:tentative="1">
      <w:start w:val="1"/>
      <w:numFmt w:val="bullet"/>
      <w:lvlText w:val=""/>
      <w:lvlJc w:val="left"/>
      <w:pPr>
        <w:ind w:left="5511" w:hanging="360"/>
      </w:pPr>
      <w:rPr>
        <w:rFonts w:ascii="Symbol" w:hAnsi="Symbol" w:hint="default"/>
      </w:rPr>
    </w:lvl>
    <w:lvl w:ilvl="7" w:tplc="1C090003" w:tentative="1">
      <w:start w:val="1"/>
      <w:numFmt w:val="bullet"/>
      <w:lvlText w:val="o"/>
      <w:lvlJc w:val="left"/>
      <w:pPr>
        <w:ind w:left="6231" w:hanging="360"/>
      </w:pPr>
      <w:rPr>
        <w:rFonts w:ascii="Courier New" w:hAnsi="Courier New" w:cs="Courier New" w:hint="default"/>
      </w:rPr>
    </w:lvl>
    <w:lvl w:ilvl="8" w:tplc="1C090005" w:tentative="1">
      <w:start w:val="1"/>
      <w:numFmt w:val="bullet"/>
      <w:lvlText w:val=""/>
      <w:lvlJc w:val="left"/>
      <w:pPr>
        <w:ind w:left="6951" w:hanging="360"/>
      </w:pPr>
      <w:rPr>
        <w:rFonts w:ascii="Wingdings" w:hAnsi="Wingdings" w:hint="default"/>
      </w:rPr>
    </w:lvl>
  </w:abstractNum>
  <w:abstractNum w:abstractNumId="67" w15:restartNumberingAfterBreak="0">
    <w:nsid w:val="736967DF"/>
    <w:multiLevelType w:val="hybridMultilevel"/>
    <w:tmpl w:val="E3E6B1B2"/>
    <w:lvl w:ilvl="0" w:tplc="8EF24F94">
      <w:start w:val="1"/>
      <w:numFmt w:val="lowerRoman"/>
      <w:lvlText w:val="%1."/>
      <w:lvlJc w:val="right"/>
      <w:pPr>
        <w:ind w:left="852" w:hanging="360"/>
      </w:pPr>
    </w:lvl>
    <w:lvl w:ilvl="1" w:tplc="475AB370">
      <w:start w:val="1"/>
      <w:numFmt w:val="lowerLetter"/>
      <w:lvlText w:val="%2."/>
      <w:lvlJc w:val="left"/>
      <w:pPr>
        <w:ind w:left="1572" w:hanging="360"/>
      </w:pPr>
    </w:lvl>
    <w:lvl w:ilvl="2" w:tplc="493C0870">
      <w:start w:val="1"/>
      <w:numFmt w:val="lowerRoman"/>
      <w:lvlText w:val="%3."/>
      <w:lvlJc w:val="right"/>
      <w:pPr>
        <w:ind w:left="2292" w:hanging="180"/>
      </w:pPr>
    </w:lvl>
    <w:lvl w:ilvl="3" w:tplc="EB1409F8">
      <w:start w:val="1"/>
      <w:numFmt w:val="decimal"/>
      <w:lvlText w:val="%4."/>
      <w:lvlJc w:val="left"/>
      <w:pPr>
        <w:ind w:left="3012" w:hanging="360"/>
      </w:pPr>
    </w:lvl>
    <w:lvl w:ilvl="4" w:tplc="E9EA750C">
      <w:start w:val="1"/>
      <w:numFmt w:val="lowerLetter"/>
      <w:lvlText w:val="%5."/>
      <w:lvlJc w:val="left"/>
      <w:pPr>
        <w:ind w:left="3732" w:hanging="360"/>
      </w:pPr>
    </w:lvl>
    <w:lvl w:ilvl="5" w:tplc="B770B8F0">
      <w:start w:val="1"/>
      <w:numFmt w:val="lowerRoman"/>
      <w:lvlText w:val="%6."/>
      <w:lvlJc w:val="right"/>
      <w:pPr>
        <w:ind w:left="4452" w:hanging="180"/>
      </w:pPr>
    </w:lvl>
    <w:lvl w:ilvl="6" w:tplc="8384C914">
      <w:start w:val="1"/>
      <w:numFmt w:val="decimal"/>
      <w:lvlText w:val="%7."/>
      <w:lvlJc w:val="left"/>
      <w:pPr>
        <w:ind w:left="5172" w:hanging="360"/>
      </w:pPr>
    </w:lvl>
    <w:lvl w:ilvl="7" w:tplc="76AE5F2E">
      <w:start w:val="1"/>
      <w:numFmt w:val="lowerLetter"/>
      <w:lvlText w:val="%8."/>
      <w:lvlJc w:val="left"/>
      <w:pPr>
        <w:ind w:left="5892" w:hanging="360"/>
      </w:pPr>
    </w:lvl>
    <w:lvl w:ilvl="8" w:tplc="D160F7EC">
      <w:start w:val="1"/>
      <w:numFmt w:val="lowerRoman"/>
      <w:lvlText w:val="%9."/>
      <w:lvlJc w:val="right"/>
      <w:pPr>
        <w:ind w:left="6612" w:hanging="180"/>
      </w:pPr>
    </w:lvl>
  </w:abstractNum>
  <w:abstractNum w:abstractNumId="68" w15:restartNumberingAfterBreak="0">
    <w:nsid w:val="7451BAF9"/>
    <w:multiLevelType w:val="hybridMultilevel"/>
    <w:tmpl w:val="6DE6A646"/>
    <w:lvl w:ilvl="0" w:tplc="5D6C51EE">
      <w:start w:val="1"/>
      <w:numFmt w:val="bullet"/>
      <w:lvlText w:val="·"/>
      <w:lvlJc w:val="left"/>
      <w:pPr>
        <w:ind w:left="720" w:hanging="360"/>
      </w:pPr>
      <w:rPr>
        <w:rFonts w:ascii="Symbol" w:hAnsi="Symbol" w:hint="default"/>
      </w:rPr>
    </w:lvl>
    <w:lvl w:ilvl="1" w:tplc="A62EBDF0">
      <w:start w:val="1"/>
      <w:numFmt w:val="bullet"/>
      <w:lvlText w:val="o"/>
      <w:lvlJc w:val="left"/>
      <w:pPr>
        <w:ind w:left="1440" w:hanging="360"/>
      </w:pPr>
      <w:rPr>
        <w:rFonts w:ascii="Courier New" w:hAnsi="Courier New" w:hint="default"/>
      </w:rPr>
    </w:lvl>
    <w:lvl w:ilvl="2" w:tplc="21B44710">
      <w:start w:val="1"/>
      <w:numFmt w:val="bullet"/>
      <w:lvlText w:val=""/>
      <w:lvlJc w:val="left"/>
      <w:pPr>
        <w:ind w:left="2160" w:hanging="360"/>
      </w:pPr>
      <w:rPr>
        <w:rFonts w:ascii="Wingdings" w:hAnsi="Wingdings" w:hint="default"/>
      </w:rPr>
    </w:lvl>
    <w:lvl w:ilvl="3" w:tplc="B2447EB6">
      <w:start w:val="1"/>
      <w:numFmt w:val="bullet"/>
      <w:lvlText w:val=""/>
      <w:lvlJc w:val="left"/>
      <w:pPr>
        <w:ind w:left="2880" w:hanging="360"/>
      </w:pPr>
      <w:rPr>
        <w:rFonts w:ascii="Symbol" w:hAnsi="Symbol" w:hint="default"/>
      </w:rPr>
    </w:lvl>
    <w:lvl w:ilvl="4" w:tplc="7548AA74">
      <w:start w:val="1"/>
      <w:numFmt w:val="bullet"/>
      <w:lvlText w:val="o"/>
      <w:lvlJc w:val="left"/>
      <w:pPr>
        <w:ind w:left="3600" w:hanging="360"/>
      </w:pPr>
      <w:rPr>
        <w:rFonts w:ascii="Courier New" w:hAnsi="Courier New" w:hint="default"/>
      </w:rPr>
    </w:lvl>
    <w:lvl w:ilvl="5" w:tplc="AD26F690">
      <w:start w:val="1"/>
      <w:numFmt w:val="bullet"/>
      <w:lvlText w:val=""/>
      <w:lvlJc w:val="left"/>
      <w:pPr>
        <w:ind w:left="4320" w:hanging="360"/>
      </w:pPr>
      <w:rPr>
        <w:rFonts w:ascii="Wingdings" w:hAnsi="Wingdings" w:hint="default"/>
      </w:rPr>
    </w:lvl>
    <w:lvl w:ilvl="6" w:tplc="9350E2D4">
      <w:start w:val="1"/>
      <w:numFmt w:val="bullet"/>
      <w:lvlText w:val=""/>
      <w:lvlJc w:val="left"/>
      <w:pPr>
        <w:ind w:left="5040" w:hanging="360"/>
      </w:pPr>
      <w:rPr>
        <w:rFonts w:ascii="Symbol" w:hAnsi="Symbol" w:hint="default"/>
      </w:rPr>
    </w:lvl>
    <w:lvl w:ilvl="7" w:tplc="6FFEC656">
      <w:start w:val="1"/>
      <w:numFmt w:val="bullet"/>
      <w:lvlText w:val="o"/>
      <w:lvlJc w:val="left"/>
      <w:pPr>
        <w:ind w:left="5760" w:hanging="360"/>
      </w:pPr>
      <w:rPr>
        <w:rFonts w:ascii="Courier New" w:hAnsi="Courier New" w:hint="default"/>
      </w:rPr>
    </w:lvl>
    <w:lvl w:ilvl="8" w:tplc="502E6DA6">
      <w:start w:val="1"/>
      <w:numFmt w:val="bullet"/>
      <w:lvlText w:val=""/>
      <w:lvlJc w:val="left"/>
      <w:pPr>
        <w:ind w:left="6480" w:hanging="360"/>
      </w:pPr>
      <w:rPr>
        <w:rFonts w:ascii="Wingdings" w:hAnsi="Wingdings" w:hint="default"/>
      </w:rPr>
    </w:lvl>
  </w:abstractNum>
  <w:abstractNum w:abstractNumId="69" w15:restartNumberingAfterBreak="0">
    <w:nsid w:val="74C585B5"/>
    <w:multiLevelType w:val="hybridMultilevel"/>
    <w:tmpl w:val="47026B24"/>
    <w:lvl w:ilvl="0" w:tplc="DEC82E28">
      <w:numFmt w:val="none"/>
      <w:lvlText w:val=""/>
      <w:lvlJc w:val="left"/>
      <w:pPr>
        <w:tabs>
          <w:tab w:val="num" w:pos="360"/>
        </w:tabs>
      </w:pPr>
    </w:lvl>
    <w:lvl w:ilvl="1" w:tplc="0456D7CA">
      <w:start w:val="1"/>
      <w:numFmt w:val="lowerLetter"/>
      <w:lvlText w:val="%2."/>
      <w:lvlJc w:val="left"/>
      <w:pPr>
        <w:ind w:left="2157" w:hanging="360"/>
      </w:pPr>
    </w:lvl>
    <w:lvl w:ilvl="2" w:tplc="02EC8A5E">
      <w:start w:val="1"/>
      <w:numFmt w:val="lowerRoman"/>
      <w:lvlText w:val="%3."/>
      <w:lvlJc w:val="right"/>
      <w:pPr>
        <w:ind w:left="2877" w:hanging="180"/>
      </w:pPr>
    </w:lvl>
    <w:lvl w:ilvl="3" w:tplc="D02249CA">
      <w:start w:val="1"/>
      <w:numFmt w:val="decimal"/>
      <w:lvlText w:val="%4."/>
      <w:lvlJc w:val="left"/>
      <w:pPr>
        <w:ind w:left="3597" w:hanging="360"/>
      </w:pPr>
    </w:lvl>
    <w:lvl w:ilvl="4" w:tplc="43706B6C">
      <w:start w:val="1"/>
      <w:numFmt w:val="lowerLetter"/>
      <w:lvlText w:val="%5."/>
      <w:lvlJc w:val="left"/>
      <w:pPr>
        <w:ind w:left="4317" w:hanging="360"/>
      </w:pPr>
    </w:lvl>
    <w:lvl w:ilvl="5" w:tplc="9870754C">
      <w:start w:val="1"/>
      <w:numFmt w:val="lowerRoman"/>
      <w:lvlText w:val="%6."/>
      <w:lvlJc w:val="right"/>
      <w:pPr>
        <w:ind w:left="5037" w:hanging="180"/>
      </w:pPr>
    </w:lvl>
    <w:lvl w:ilvl="6" w:tplc="83967C88">
      <w:start w:val="1"/>
      <w:numFmt w:val="decimal"/>
      <w:lvlText w:val="%7."/>
      <w:lvlJc w:val="left"/>
      <w:pPr>
        <w:ind w:left="5757" w:hanging="360"/>
      </w:pPr>
    </w:lvl>
    <w:lvl w:ilvl="7" w:tplc="E960B68E">
      <w:start w:val="1"/>
      <w:numFmt w:val="lowerLetter"/>
      <w:lvlText w:val="%8."/>
      <w:lvlJc w:val="left"/>
      <w:pPr>
        <w:ind w:left="6477" w:hanging="360"/>
      </w:pPr>
    </w:lvl>
    <w:lvl w:ilvl="8" w:tplc="014658C2">
      <w:start w:val="1"/>
      <w:numFmt w:val="lowerRoman"/>
      <w:lvlText w:val="%9."/>
      <w:lvlJc w:val="right"/>
      <w:pPr>
        <w:ind w:left="7197" w:hanging="180"/>
      </w:pPr>
    </w:lvl>
  </w:abstractNum>
  <w:abstractNum w:abstractNumId="70" w15:restartNumberingAfterBreak="0">
    <w:nsid w:val="752A276F"/>
    <w:multiLevelType w:val="hybridMultilevel"/>
    <w:tmpl w:val="0776885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1" w15:restartNumberingAfterBreak="0">
    <w:nsid w:val="7571944E"/>
    <w:multiLevelType w:val="hybridMultilevel"/>
    <w:tmpl w:val="5E648C56"/>
    <w:lvl w:ilvl="0" w:tplc="61DA3DAC">
      <w:start w:val="1"/>
      <w:numFmt w:val="lowerLetter"/>
      <w:lvlText w:val="%1."/>
      <w:lvlJc w:val="left"/>
      <w:pPr>
        <w:ind w:left="852" w:hanging="360"/>
      </w:pPr>
    </w:lvl>
    <w:lvl w:ilvl="1" w:tplc="6D2A5FD2">
      <w:start w:val="1"/>
      <w:numFmt w:val="lowerLetter"/>
      <w:lvlText w:val="%2."/>
      <w:lvlJc w:val="left"/>
      <w:pPr>
        <w:ind w:left="1572" w:hanging="360"/>
      </w:pPr>
    </w:lvl>
    <w:lvl w:ilvl="2" w:tplc="5FE43010">
      <w:start w:val="1"/>
      <w:numFmt w:val="lowerRoman"/>
      <w:lvlText w:val="%3."/>
      <w:lvlJc w:val="right"/>
      <w:pPr>
        <w:ind w:left="2292" w:hanging="180"/>
      </w:pPr>
    </w:lvl>
    <w:lvl w:ilvl="3" w:tplc="3DDC8A08">
      <w:start w:val="1"/>
      <w:numFmt w:val="decimal"/>
      <w:lvlText w:val="%4."/>
      <w:lvlJc w:val="left"/>
      <w:pPr>
        <w:ind w:left="3012" w:hanging="360"/>
      </w:pPr>
    </w:lvl>
    <w:lvl w:ilvl="4" w:tplc="C88E6EF0">
      <w:start w:val="1"/>
      <w:numFmt w:val="lowerLetter"/>
      <w:lvlText w:val="%5."/>
      <w:lvlJc w:val="left"/>
      <w:pPr>
        <w:ind w:left="3732" w:hanging="360"/>
      </w:pPr>
    </w:lvl>
    <w:lvl w:ilvl="5" w:tplc="6C16E7C2">
      <w:start w:val="1"/>
      <w:numFmt w:val="lowerRoman"/>
      <w:lvlText w:val="%6."/>
      <w:lvlJc w:val="right"/>
      <w:pPr>
        <w:ind w:left="4452" w:hanging="180"/>
      </w:pPr>
    </w:lvl>
    <w:lvl w:ilvl="6" w:tplc="7E7619D8">
      <w:start w:val="1"/>
      <w:numFmt w:val="decimal"/>
      <w:lvlText w:val="%7."/>
      <w:lvlJc w:val="left"/>
      <w:pPr>
        <w:ind w:left="5172" w:hanging="360"/>
      </w:pPr>
    </w:lvl>
    <w:lvl w:ilvl="7" w:tplc="C2C4934A">
      <w:start w:val="1"/>
      <w:numFmt w:val="lowerLetter"/>
      <w:lvlText w:val="%8."/>
      <w:lvlJc w:val="left"/>
      <w:pPr>
        <w:ind w:left="5892" w:hanging="360"/>
      </w:pPr>
    </w:lvl>
    <w:lvl w:ilvl="8" w:tplc="FB9E9B8C">
      <w:start w:val="1"/>
      <w:numFmt w:val="lowerRoman"/>
      <w:lvlText w:val="%9."/>
      <w:lvlJc w:val="right"/>
      <w:pPr>
        <w:ind w:left="6612" w:hanging="180"/>
      </w:pPr>
    </w:lvl>
  </w:abstractNum>
  <w:abstractNum w:abstractNumId="72" w15:restartNumberingAfterBreak="0">
    <w:nsid w:val="76C93CB6"/>
    <w:multiLevelType w:val="hybridMultilevel"/>
    <w:tmpl w:val="C9A8B6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15:restartNumberingAfterBreak="0">
    <w:nsid w:val="775950A5"/>
    <w:multiLevelType w:val="hybridMultilevel"/>
    <w:tmpl w:val="3DAC439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4" w15:restartNumberingAfterBreak="0">
    <w:nsid w:val="7818644A"/>
    <w:multiLevelType w:val="multilevel"/>
    <w:tmpl w:val="F8BCDF9A"/>
    <w:lvl w:ilvl="0">
      <w:start w:val="1"/>
      <w:numFmt w:val="decimal"/>
      <w:lvlText w:val="%1."/>
      <w:lvlJc w:val="left"/>
      <w:pPr>
        <w:ind w:left="954" w:hanging="360"/>
      </w:pPr>
    </w:lvl>
    <w:lvl w:ilvl="1">
      <w:start w:val="1"/>
      <w:numFmt w:val="decimal"/>
      <w:lvlText w:val="%1.%2."/>
      <w:lvlJc w:val="left"/>
      <w:pPr>
        <w:ind w:left="1674" w:hanging="360"/>
      </w:pPr>
    </w:lvl>
    <w:lvl w:ilvl="2">
      <w:start w:val="1"/>
      <w:numFmt w:val="decimal"/>
      <w:lvlText w:val="%1.%2.%3."/>
      <w:lvlJc w:val="left"/>
      <w:pPr>
        <w:ind w:left="2394" w:hanging="180"/>
      </w:pPr>
    </w:lvl>
    <w:lvl w:ilvl="3">
      <w:start w:val="1"/>
      <w:numFmt w:val="decimal"/>
      <w:lvlText w:val="%1.%2.%3.%4."/>
      <w:lvlJc w:val="left"/>
      <w:pPr>
        <w:ind w:left="3114" w:hanging="360"/>
      </w:pPr>
    </w:lvl>
    <w:lvl w:ilvl="4">
      <w:start w:val="1"/>
      <w:numFmt w:val="decimal"/>
      <w:lvlText w:val="%1.%2.%3.%4.%5."/>
      <w:lvlJc w:val="left"/>
      <w:pPr>
        <w:ind w:left="3834" w:hanging="360"/>
      </w:pPr>
    </w:lvl>
    <w:lvl w:ilvl="5">
      <w:start w:val="1"/>
      <w:numFmt w:val="decimal"/>
      <w:lvlText w:val="%1.%2.%3.%4.%5.%6."/>
      <w:lvlJc w:val="left"/>
      <w:pPr>
        <w:ind w:left="4554" w:hanging="180"/>
      </w:pPr>
    </w:lvl>
    <w:lvl w:ilvl="6">
      <w:start w:val="1"/>
      <w:numFmt w:val="decimal"/>
      <w:lvlText w:val="%1.%2.%3.%4.%5.%6.%7."/>
      <w:lvlJc w:val="left"/>
      <w:pPr>
        <w:ind w:left="5274" w:hanging="360"/>
      </w:pPr>
    </w:lvl>
    <w:lvl w:ilvl="7">
      <w:start w:val="1"/>
      <w:numFmt w:val="decimal"/>
      <w:lvlText w:val="%1.%2.%3.%4.%5.%6.%7.%8."/>
      <w:lvlJc w:val="left"/>
      <w:pPr>
        <w:ind w:left="5994" w:hanging="360"/>
      </w:pPr>
    </w:lvl>
    <w:lvl w:ilvl="8">
      <w:start w:val="1"/>
      <w:numFmt w:val="decimal"/>
      <w:lvlText w:val="%1.%2.%3.%4.%5.%6.%7.%8.%9."/>
      <w:lvlJc w:val="left"/>
      <w:pPr>
        <w:ind w:left="6714" w:hanging="180"/>
      </w:pPr>
    </w:lvl>
  </w:abstractNum>
  <w:abstractNum w:abstractNumId="75" w15:restartNumberingAfterBreak="0">
    <w:nsid w:val="791748B7"/>
    <w:multiLevelType w:val="multilevel"/>
    <w:tmpl w:val="51AC87BE"/>
    <w:lvl w:ilvl="0">
      <w:start w:val="1"/>
      <w:numFmt w:val="decimal"/>
      <w:lvlText w:val="%1."/>
      <w:lvlJc w:val="left"/>
      <w:pPr>
        <w:ind w:left="579" w:hanging="339"/>
      </w:pPr>
      <w:rPr>
        <w:rFonts w:ascii="Arial" w:eastAsia="Arial" w:hAnsi="Arial" w:cs="Arial" w:hint="default"/>
        <w:b/>
        <w:bCs/>
        <w:spacing w:val="-2"/>
        <w:w w:val="99"/>
        <w:sz w:val="21"/>
        <w:szCs w:val="21"/>
        <w:lang w:val="en-US" w:eastAsia="en-US" w:bidi="ar-SA"/>
      </w:rPr>
    </w:lvl>
    <w:lvl w:ilvl="1">
      <w:start w:val="1"/>
      <w:numFmt w:val="decimal"/>
      <w:lvlText w:val="%1.%2."/>
      <w:lvlJc w:val="left"/>
      <w:pPr>
        <w:ind w:left="960" w:hanging="406"/>
      </w:pPr>
      <w:rPr>
        <w:rFonts w:ascii="Arial" w:eastAsia="Arial" w:hAnsi="Arial" w:cs="Arial" w:hint="default"/>
        <w:b/>
        <w:bCs/>
        <w:spacing w:val="-2"/>
        <w:w w:val="99"/>
        <w:sz w:val="21"/>
        <w:szCs w:val="21"/>
        <w:lang w:val="en-US" w:eastAsia="en-US" w:bidi="ar-SA"/>
      </w:rPr>
    </w:lvl>
    <w:lvl w:ilvl="2">
      <w:numFmt w:val="bullet"/>
      <w:lvlText w:val="•"/>
      <w:lvlJc w:val="left"/>
      <w:pPr>
        <w:ind w:left="1880" w:hanging="406"/>
      </w:pPr>
      <w:rPr>
        <w:rFonts w:hint="default"/>
        <w:lang w:val="en-US" w:eastAsia="en-US" w:bidi="ar-SA"/>
      </w:rPr>
    </w:lvl>
    <w:lvl w:ilvl="3">
      <w:numFmt w:val="bullet"/>
      <w:lvlText w:val="•"/>
      <w:lvlJc w:val="left"/>
      <w:pPr>
        <w:ind w:left="2745" w:hanging="406"/>
      </w:pPr>
      <w:rPr>
        <w:rFonts w:hint="default"/>
        <w:lang w:val="en-US" w:eastAsia="en-US" w:bidi="ar-SA"/>
      </w:rPr>
    </w:lvl>
    <w:lvl w:ilvl="4">
      <w:numFmt w:val="bullet"/>
      <w:lvlText w:val="•"/>
      <w:lvlJc w:val="left"/>
      <w:pPr>
        <w:ind w:left="3610" w:hanging="406"/>
      </w:pPr>
      <w:rPr>
        <w:rFonts w:hint="default"/>
        <w:lang w:val="en-US" w:eastAsia="en-US" w:bidi="ar-SA"/>
      </w:rPr>
    </w:lvl>
    <w:lvl w:ilvl="5">
      <w:numFmt w:val="bullet"/>
      <w:lvlText w:val="•"/>
      <w:lvlJc w:val="left"/>
      <w:pPr>
        <w:ind w:left="4475" w:hanging="406"/>
      </w:pPr>
      <w:rPr>
        <w:rFonts w:hint="default"/>
        <w:lang w:val="en-US" w:eastAsia="en-US" w:bidi="ar-SA"/>
      </w:rPr>
    </w:lvl>
    <w:lvl w:ilvl="6">
      <w:numFmt w:val="bullet"/>
      <w:lvlText w:val="•"/>
      <w:lvlJc w:val="left"/>
      <w:pPr>
        <w:ind w:left="5340" w:hanging="406"/>
      </w:pPr>
      <w:rPr>
        <w:rFonts w:hint="default"/>
        <w:lang w:val="en-US" w:eastAsia="en-US" w:bidi="ar-SA"/>
      </w:rPr>
    </w:lvl>
    <w:lvl w:ilvl="7">
      <w:numFmt w:val="bullet"/>
      <w:lvlText w:val="•"/>
      <w:lvlJc w:val="left"/>
      <w:pPr>
        <w:ind w:left="6205" w:hanging="406"/>
      </w:pPr>
      <w:rPr>
        <w:rFonts w:hint="default"/>
        <w:lang w:val="en-US" w:eastAsia="en-US" w:bidi="ar-SA"/>
      </w:rPr>
    </w:lvl>
    <w:lvl w:ilvl="8">
      <w:numFmt w:val="bullet"/>
      <w:lvlText w:val="•"/>
      <w:lvlJc w:val="left"/>
      <w:pPr>
        <w:ind w:left="7070" w:hanging="406"/>
      </w:pPr>
      <w:rPr>
        <w:rFonts w:hint="default"/>
        <w:lang w:val="en-US" w:eastAsia="en-US" w:bidi="ar-SA"/>
      </w:rPr>
    </w:lvl>
  </w:abstractNum>
  <w:abstractNum w:abstractNumId="76" w15:restartNumberingAfterBreak="0">
    <w:nsid w:val="79A9D2E0"/>
    <w:multiLevelType w:val="hybridMultilevel"/>
    <w:tmpl w:val="9618C3B2"/>
    <w:lvl w:ilvl="0" w:tplc="01043752">
      <w:numFmt w:val="none"/>
      <w:lvlText w:val=""/>
      <w:lvlJc w:val="left"/>
      <w:pPr>
        <w:tabs>
          <w:tab w:val="num" w:pos="360"/>
        </w:tabs>
      </w:pPr>
    </w:lvl>
    <w:lvl w:ilvl="1" w:tplc="916443F0">
      <w:start w:val="1"/>
      <w:numFmt w:val="lowerLetter"/>
      <w:lvlText w:val="%2."/>
      <w:lvlJc w:val="left"/>
      <w:pPr>
        <w:ind w:left="2157" w:hanging="360"/>
      </w:pPr>
    </w:lvl>
    <w:lvl w:ilvl="2" w:tplc="99CA5482">
      <w:start w:val="1"/>
      <w:numFmt w:val="lowerRoman"/>
      <w:lvlText w:val="%3."/>
      <w:lvlJc w:val="right"/>
      <w:pPr>
        <w:ind w:left="2877" w:hanging="180"/>
      </w:pPr>
    </w:lvl>
    <w:lvl w:ilvl="3" w:tplc="96A268DC">
      <w:start w:val="1"/>
      <w:numFmt w:val="decimal"/>
      <w:lvlText w:val="%4."/>
      <w:lvlJc w:val="left"/>
      <w:pPr>
        <w:ind w:left="3597" w:hanging="360"/>
      </w:pPr>
    </w:lvl>
    <w:lvl w:ilvl="4" w:tplc="2F14972A">
      <w:start w:val="1"/>
      <w:numFmt w:val="lowerLetter"/>
      <w:lvlText w:val="%5."/>
      <w:lvlJc w:val="left"/>
      <w:pPr>
        <w:ind w:left="4317" w:hanging="360"/>
      </w:pPr>
    </w:lvl>
    <w:lvl w:ilvl="5" w:tplc="D1123D18">
      <w:start w:val="1"/>
      <w:numFmt w:val="lowerRoman"/>
      <w:lvlText w:val="%6."/>
      <w:lvlJc w:val="right"/>
      <w:pPr>
        <w:ind w:left="5037" w:hanging="180"/>
      </w:pPr>
    </w:lvl>
    <w:lvl w:ilvl="6" w:tplc="45CE5DD4">
      <w:start w:val="1"/>
      <w:numFmt w:val="decimal"/>
      <w:lvlText w:val="%7."/>
      <w:lvlJc w:val="left"/>
      <w:pPr>
        <w:ind w:left="5757" w:hanging="360"/>
      </w:pPr>
    </w:lvl>
    <w:lvl w:ilvl="7" w:tplc="F1C80D78">
      <w:start w:val="1"/>
      <w:numFmt w:val="lowerLetter"/>
      <w:lvlText w:val="%8."/>
      <w:lvlJc w:val="left"/>
      <w:pPr>
        <w:ind w:left="6477" w:hanging="360"/>
      </w:pPr>
    </w:lvl>
    <w:lvl w:ilvl="8" w:tplc="FA948802">
      <w:start w:val="1"/>
      <w:numFmt w:val="lowerRoman"/>
      <w:lvlText w:val="%9."/>
      <w:lvlJc w:val="right"/>
      <w:pPr>
        <w:ind w:left="7197" w:hanging="180"/>
      </w:pPr>
    </w:lvl>
  </w:abstractNum>
  <w:abstractNum w:abstractNumId="77" w15:restartNumberingAfterBreak="0">
    <w:nsid w:val="7AA6A02B"/>
    <w:multiLevelType w:val="hybridMultilevel"/>
    <w:tmpl w:val="FFFFFFFF"/>
    <w:lvl w:ilvl="0" w:tplc="164A717A">
      <w:start w:val="1"/>
      <w:numFmt w:val="upperLetter"/>
      <w:lvlText w:val="%1."/>
      <w:lvlJc w:val="left"/>
      <w:pPr>
        <w:ind w:left="1440" w:hanging="360"/>
      </w:pPr>
    </w:lvl>
    <w:lvl w:ilvl="1" w:tplc="C9FEBCA0">
      <w:start w:val="1"/>
      <w:numFmt w:val="lowerLetter"/>
      <w:lvlText w:val="%2."/>
      <w:lvlJc w:val="left"/>
      <w:pPr>
        <w:ind w:left="1440" w:hanging="360"/>
      </w:pPr>
    </w:lvl>
    <w:lvl w:ilvl="2" w:tplc="EAFA02CC">
      <w:start w:val="1"/>
      <w:numFmt w:val="lowerRoman"/>
      <w:lvlText w:val="%3."/>
      <w:lvlJc w:val="right"/>
      <w:pPr>
        <w:ind w:left="2160" w:hanging="180"/>
      </w:pPr>
    </w:lvl>
    <w:lvl w:ilvl="3" w:tplc="B36A6A10">
      <w:start w:val="1"/>
      <w:numFmt w:val="decimal"/>
      <w:lvlText w:val="%4."/>
      <w:lvlJc w:val="left"/>
      <w:pPr>
        <w:ind w:left="2880" w:hanging="360"/>
      </w:pPr>
    </w:lvl>
    <w:lvl w:ilvl="4" w:tplc="609CDA42">
      <w:start w:val="1"/>
      <w:numFmt w:val="lowerLetter"/>
      <w:lvlText w:val="%5."/>
      <w:lvlJc w:val="left"/>
      <w:pPr>
        <w:ind w:left="3600" w:hanging="360"/>
      </w:pPr>
    </w:lvl>
    <w:lvl w:ilvl="5" w:tplc="B99C3162">
      <w:start w:val="1"/>
      <w:numFmt w:val="lowerRoman"/>
      <w:lvlText w:val="%6."/>
      <w:lvlJc w:val="right"/>
      <w:pPr>
        <w:ind w:left="4320" w:hanging="180"/>
      </w:pPr>
    </w:lvl>
    <w:lvl w:ilvl="6" w:tplc="D8EEA20A">
      <w:start w:val="1"/>
      <w:numFmt w:val="decimal"/>
      <w:lvlText w:val="%7."/>
      <w:lvlJc w:val="left"/>
      <w:pPr>
        <w:ind w:left="5040" w:hanging="360"/>
      </w:pPr>
    </w:lvl>
    <w:lvl w:ilvl="7" w:tplc="CC52100E">
      <w:start w:val="1"/>
      <w:numFmt w:val="lowerLetter"/>
      <w:lvlText w:val="%8."/>
      <w:lvlJc w:val="left"/>
      <w:pPr>
        <w:ind w:left="5760" w:hanging="360"/>
      </w:pPr>
    </w:lvl>
    <w:lvl w:ilvl="8" w:tplc="51826D74">
      <w:start w:val="1"/>
      <w:numFmt w:val="lowerRoman"/>
      <w:lvlText w:val="%9."/>
      <w:lvlJc w:val="right"/>
      <w:pPr>
        <w:ind w:left="6480" w:hanging="180"/>
      </w:pPr>
    </w:lvl>
  </w:abstractNum>
  <w:abstractNum w:abstractNumId="78" w15:restartNumberingAfterBreak="0">
    <w:nsid w:val="7C726F2F"/>
    <w:multiLevelType w:val="hybridMultilevel"/>
    <w:tmpl w:val="1A78C56A"/>
    <w:lvl w:ilvl="0" w:tplc="EFDC4EA2">
      <w:start w:val="1"/>
      <w:numFmt w:val="bullet"/>
      <w:lvlText w:val=""/>
      <w:lvlJc w:val="left"/>
      <w:pPr>
        <w:ind w:left="720" w:hanging="360"/>
      </w:pPr>
      <w:rPr>
        <w:rFonts w:ascii="Symbol" w:hAnsi="Symbol" w:hint="default"/>
      </w:rPr>
    </w:lvl>
    <w:lvl w:ilvl="1" w:tplc="30521DF8">
      <w:start w:val="1"/>
      <w:numFmt w:val="bullet"/>
      <w:lvlText w:val="o"/>
      <w:lvlJc w:val="left"/>
      <w:pPr>
        <w:ind w:left="1440" w:hanging="360"/>
      </w:pPr>
      <w:rPr>
        <w:rFonts w:ascii="Courier New" w:hAnsi="Courier New" w:hint="default"/>
      </w:rPr>
    </w:lvl>
    <w:lvl w:ilvl="2" w:tplc="F9028E52">
      <w:start w:val="1"/>
      <w:numFmt w:val="bullet"/>
      <w:lvlText w:val=""/>
      <w:lvlJc w:val="left"/>
      <w:pPr>
        <w:ind w:left="2160" w:hanging="360"/>
      </w:pPr>
      <w:rPr>
        <w:rFonts w:ascii="Wingdings" w:hAnsi="Wingdings" w:hint="default"/>
      </w:rPr>
    </w:lvl>
    <w:lvl w:ilvl="3" w:tplc="4112DF4A">
      <w:start w:val="1"/>
      <w:numFmt w:val="bullet"/>
      <w:lvlText w:val=""/>
      <w:lvlJc w:val="left"/>
      <w:pPr>
        <w:ind w:left="2880" w:hanging="360"/>
      </w:pPr>
      <w:rPr>
        <w:rFonts w:ascii="Symbol" w:hAnsi="Symbol" w:hint="default"/>
      </w:rPr>
    </w:lvl>
    <w:lvl w:ilvl="4" w:tplc="C49649BE">
      <w:start w:val="1"/>
      <w:numFmt w:val="bullet"/>
      <w:lvlText w:val="o"/>
      <w:lvlJc w:val="left"/>
      <w:pPr>
        <w:ind w:left="3600" w:hanging="360"/>
      </w:pPr>
      <w:rPr>
        <w:rFonts w:ascii="Courier New" w:hAnsi="Courier New" w:hint="default"/>
      </w:rPr>
    </w:lvl>
    <w:lvl w:ilvl="5" w:tplc="8918DFC4">
      <w:start w:val="1"/>
      <w:numFmt w:val="bullet"/>
      <w:lvlText w:val=""/>
      <w:lvlJc w:val="left"/>
      <w:pPr>
        <w:ind w:left="4320" w:hanging="360"/>
      </w:pPr>
      <w:rPr>
        <w:rFonts w:ascii="Wingdings" w:hAnsi="Wingdings" w:hint="default"/>
      </w:rPr>
    </w:lvl>
    <w:lvl w:ilvl="6" w:tplc="00341DC4">
      <w:start w:val="1"/>
      <w:numFmt w:val="bullet"/>
      <w:lvlText w:val=""/>
      <w:lvlJc w:val="left"/>
      <w:pPr>
        <w:ind w:left="5040" w:hanging="360"/>
      </w:pPr>
      <w:rPr>
        <w:rFonts w:ascii="Symbol" w:hAnsi="Symbol" w:hint="default"/>
      </w:rPr>
    </w:lvl>
    <w:lvl w:ilvl="7" w:tplc="711CBB08">
      <w:start w:val="1"/>
      <w:numFmt w:val="bullet"/>
      <w:lvlText w:val="o"/>
      <w:lvlJc w:val="left"/>
      <w:pPr>
        <w:ind w:left="5760" w:hanging="360"/>
      </w:pPr>
      <w:rPr>
        <w:rFonts w:ascii="Courier New" w:hAnsi="Courier New" w:hint="default"/>
      </w:rPr>
    </w:lvl>
    <w:lvl w:ilvl="8" w:tplc="9D147264">
      <w:start w:val="1"/>
      <w:numFmt w:val="bullet"/>
      <w:lvlText w:val=""/>
      <w:lvlJc w:val="left"/>
      <w:pPr>
        <w:ind w:left="6480" w:hanging="360"/>
      </w:pPr>
      <w:rPr>
        <w:rFonts w:ascii="Wingdings" w:hAnsi="Wingdings" w:hint="default"/>
      </w:rPr>
    </w:lvl>
  </w:abstractNum>
  <w:abstractNum w:abstractNumId="79" w15:restartNumberingAfterBreak="0">
    <w:nsid w:val="7D8C4942"/>
    <w:multiLevelType w:val="hybridMultilevel"/>
    <w:tmpl w:val="73D2E442"/>
    <w:lvl w:ilvl="0" w:tplc="806642C2">
      <w:numFmt w:val="bullet"/>
      <w:lvlText w:val="•"/>
      <w:lvlJc w:val="left"/>
      <w:pPr>
        <w:ind w:left="720" w:hanging="360"/>
      </w:pPr>
      <w:rPr>
        <w:rFonts w:hint="default"/>
        <w:lang w:val="en-US" w:eastAsia="en-US" w:bidi="ar-SA"/>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0" w15:restartNumberingAfterBreak="0">
    <w:nsid w:val="7F105212"/>
    <w:multiLevelType w:val="hybridMultilevel"/>
    <w:tmpl w:val="20BACC3E"/>
    <w:lvl w:ilvl="0" w:tplc="806642C2">
      <w:numFmt w:val="bullet"/>
      <w:lvlText w:val="•"/>
      <w:lvlJc w:val="left"/>
      <w:pPr>
        <w:ind w:left="720" w:hanging="360"/>
      </w:pPr>
      <w:rPr>
        <w:rFonts w:hint="default"/>
        <w:lang w:val="en-US" w:eastAsia="en-US" w:bidi="ar-SA"/>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293633142">
    <w:abstractNumId w:val="39"/>
  </w:num>
  <w:num w:numId="2" w16cid:durableId="1445078209">
    <w:abstractNumId w:val="62"/>
  </w:num>
  <w:num w:numId="3" w16cid:durableId="442772844">
    <w:abstractNumId w:val="22"/>
  </w:num>
  <w:num w:numId="4" w16cid:durableId="1282299778">
    <w:abstractNumId w:val="58"/>
  </w:num>
  <w:num w:numId="5" w16cid:durableId="929893054">
    <w:abstractNumId w:val="44"/>
  </w:num>
  <w:num w:numId="6" w16cid:durableId="450436675">
    <w:abstractNumId w:val="12"/>
  </w:num>
  <w:num w:numId="7" w16cid:durableId="516119870">
    <w:abstractNumId w:val="69"/>
  </w:num>
  <w:num w:numId="8" w16cid:durableId="1813791924">
    <w:abstractNumId w:val="76"/>
  </w:num>
  <w:num w:numId="9" w16cid:durableId="310523582">
    <w:abstractNumId w:val="30"/>
  </w:num>
  <w:num w:numId="10" w16cid:durableId="737217183">
    <w:abstractNumId w:val="7"/>
  </w:num>
  <w:num w:numId="11" w16cid:durableId="1716848666">
    <w:abstractNumId w:val="0"/>
  </w:num>
  <w:num w:numId="12" w16cid:durableId="639771685">
    <w:abstractNumId w:val="59"/>
  </w:num>
  <w:num w:numId="13" w16cid:durableId="1752972489">
    <w:abstractNumId w:val="41"/>
  </w:num>
  <w:num w:numId="14" w16cid:durableId="1505778572">
    <w:abstractNumId w:val="68"/>
  </w:num>
  <w:num w:numId="15" w16cid:durableId="2144425156">
    <w:abstractNumId w:val="33"/>
  </w:num>
  <w:num w:numId="16" w16cid:durableId="461316248">
    <w:abstractNumId w:val="74"/>
  </w:num>
  <w:num w:numId="17" w16cid:durableId="848761876">
    <w:abstractNumId w:val="56"/>
  </w:num>
  <w:num w:numId="18" w16cid:durableId="1712147696">
    <w:abstractNumId w:val="60"/>
  </w:num>
  <w:num w:numId="19" w16cid:durableId="1861384296">
    <w:abstractNumId w:val="4"/>
  </w:num>
  <w:num w:numId="20" w16cid:durableId="603877104">
    <w:abstractNumId w:val="28"/>
  </w:num>
  <w:num w:numId="21" w16cid:durableId="287396183">
    <w:abstractNumId w:val="15"/>
  </w:num>
  <w:num w:numId="22" w16cid:durableId="781799074">
    <w:abstractNumId w:val="40"/>
  </w:num>
  <w:num w:numId="23" w16cid:durableId="1161580766">
    <w:abstractNumId w:val="31"/>
  </w:num>
  <w:num w:numId="24" w16cid:durableId="723791116">
    <w:abstractNumId w:val="78"/>
  </w:num>
  <w:num w:numId="25" w16cid:durableId="1226911303">
    <w:abstractNumId w:val="49"/>
  </w:num>
  <w:num w:numId="26" w16cid:durableId="481629412">
    <w:abstractNumId w:val="27"/>
  </w:num>
  <w:num w:numId="27" w16cid:durableId="660236931">
    <w:abstractNumId w:val="17"/>
  </w:num>
  <w:num w:numId="28" w16cid:durableId="2108574089">
    <w:abstractNumId w:val="1"/>
  </w:num>
  <w:num w:numId="29" w16cid:durableId="946542207">
    <w:abstractNumId w:val="67"/>
  </w:num>
  <w:num w:numId="30" w16cid:durableId="904100412">
    <w:abstractNumId w:val="71"/>
  </w:num>
  <w:num w:numId="31" w16cid:durableId="1620528590">
    <w:abstractNumId w:val="63"/>
  </w:num>
  <w:num w:numId="32" w16cid:durableId="215288306">
    <w:abstractNumId w:val="29"/>
  </w:num>
  <w:num w:numId="33" w16cid:durableId="1869642445">
    <w:abstractNumId w:val="5"/>
  </w:num>
  <w:num w:numId="34" w16cid:durableId="1062559489">
    <w:abstractNumId w:val="37"/>
  </w:num>
  <w:num w:numId="35" w16cid:durableId="858129600">
    <w:abstractNumId w:val="19"/>
  </w:num>
  <w:num w:numId="36" w16cid:durableId="400178634">
    <w:abstractNumId w:val="48"/>
  </w:num>
  <w:num w:numId="37" w16cid:durableId="1481846897">
    <w:abstractNumId w:val="2"/>
  </w:num>
  <w:num w:numId="38" w16cid:durableId="693576066">
    <w:abstractNumId w:val="8"/>
  </w:num>
  <w:num w:numId="39" w16cid:durableId="1741172562">
    <w:abstractNumId w:val="75"/>
  </w:num>
  <w:num w:numId="40" w16cid:durableId="1847212846">
    <w:abstractNumId w:val="65"/>
  </w:num>
  <w:num w:numId="41" w16cid:durableId="568616231">
    <w:abstractNumId w:val="45"/>
  </w:num>
  <w:num w:numId="42" w16cid:durableId="1811744216">
    <w:abstractNumId w:val="26"/>
  </w:num>
  <w:num w:numId="43" w16cid:durableId="1685548170">
    <w:abstractNumId w:val="24"/>
  </w:num>
  <w:num w:numId="44" w16cid:durableId="136991797">
    <w:abstractNumId w:val="42"/>
  </w:num>
  <w:num w:numId="45" w16cid:durableId="1865946476">
    <w:abstractNumId w:val="61"/>
  </w:num>
  <w:num w:numId="46" w16cid:durableId="369107989">
    <w:abstractNumId w:val="79"/>
  </w:num>
  <w:num w:numId="47" w16cid:durableId="848830244">
    <w:abstractNumId w:val="51"/>
  </w:num>
  <w:num w:numId="48" w16cid:durableId="681711269">
    <w:abstractNumId w:val="80"/>
  </w:num>
  <w:num w:numId="49" w16cid:durableId="2049447088">
    <w:abstractNumId w:val="6"/>
  </w:num>
  <w:num w:numId="50" w16cid:durableId="1799255602">
    <w:abstractNumId w:val="25"/>
  </w:num>
  <w:num w:numId="51" w16cid:durableId="1467359195">
    <w:abstractNumId w:val="13"/>
  </w:num>
  <w:num w:numId="52" w16cid:durableId="2115437506">
    <w:abstractNumId w:val="46"/>
  </w:num>
  <w:num w:numId="53" w16cid:durableId="96797014">
    <w:abstractNumId w:val="73"/>
  </w:num>
  <w:num w:numId="54" w16cid:durableId="605425537">
    <w:abstractNumId w:val="72"/>
  </w:num>
  <w:num w:numId="55" w16cid:durableId="1971594282">
    <w:abstractNumId w:val="18"/>
  </w:num>
  <w:num w:numId="56" w16cid:durableId="464007884">
    <w:abstractNumId w:val="66"/>
  </w:num>
  <w:num w:numId="57" w16cid:durableId="442917575">
    <w:abstractNumId w:val="47"/>
  </w:num>
  <w:num w:numId="58" w16cid:durableId="45372293">
    <w:abstractNumId w:val="43"/>
  </w:num>
  <w:num w:numId="59" w16cid:durableId="51275741">
    <w:abstractNumId w:val="53"/>
  </w:num>
  <w:num w:numId="60" w16cid:durableId="174030718">
    <w:abstractNumId w:val="77"/>
  </w:num>
  <w:num w:numId="61" w16cid:durableId="547839993">
    <w:abstractNumId w:val="14"/>
  </w:num>
  <w:num w:numId="62" w16cid:durableId="1508134535">
    <w:abstractNumId w:val="11"/>
  </w:num>
  <w:num w:numId="63" w16cid:durableId="783690211">
    <w:abstractNumId w:val="38"/>
  </w:num>
  <w:num w:numId="64" w16cid:durableId="1891530692">
    <w:abstractNumId w:val="20"/>
  </w:num>
  <w:num w:numId="65" w16cid:durableId="357321781">
    <w:abstractNumId w:val="32"/>
  </w:num>
  <w:num w:numId="66" w16cid:durableId="717365900">
    <w:abstractNumId w:val="57"/>
  </w:num>
  <w:num w:numId="67" w16cid:durableId="826214997">
    <w:abstractNumId w:val="35"/>
  </w:num>
  <w:num w:numId="68" w16cid:durableId="1908807753">
    <w:abstractNumId w:val="64"/>
  </w:num>
  <w:num w:numId="69" w16cid:durableId="1366523863">
    <w:abstractNumId w:val="36"/>
  </w:num>
  <w:num w:numId="70" w16cid:durableId="1265697413">
    <w:abstractNumId w:val="21"/>
  </w:num>
  <w:num w:numId="71" w16cid:durableId="1734817231">
    <w:abstractNumId w:val="50"/>
  </w:num>
  <w:num w:numId="72" w16cid:durableId="1965386059">
    <w:abstractNumId w:val="54"/>
  </w:num>
  <w:num w:numId="73" w16cid:durableId="472721000">
    <w:abstractNumId w:val="55"/>
  </w:num>
  <w:num w:numId="74" w16cid:durableId="99574343">
    <w:abstractNumId w:val="16"/>
  </w:num>
  <w:num w:numId="75" w16cid:durableId="732779044">
    <w:abstractNumId w:val="3"/>
  </w:num>
  <w:num w:numId="76" w16cid:durableId="324629443">
    <w:abstractNumId w:val="52"/>
  </w:num>
  <w:num w:numId="77" w16cid:durableId="1785805833">
    <w:abstractNumId w:val="70"/>
  </w:num>
  <w:num w:numId="78" w16cid:durableId="1260987110">
    <w:abstractNumId w:val="9"/>
  </w:num>
  <w:num w:numId="79" w16cid:durableId="1030380644">
    <w:abstractNumId w:val="23"/>
  </w:num>
  <w:num w:numId="80" w16cid:durableId="1106193908">
    <w:abstractNumId w:val="10"/>
  </w:num>
  <w:num w:numId="81" w16cid:durableId="795487799">
    <w:abstractNumId w:val="34"/>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F5E"/>
    <w:rsid w:val="00000670"/>
    <w:rsid w:val="00000745"/>
    <w:rsid w:val="00001450"/>
    <w:rsid w:val="0000199F"/>
    <w:rsid w:val="00001B6D"/>
    <w:rsid w:val="00001EEE"/>
    <w:rsid w:val="0000205D"/>
    <w:rsid w:val="00002094"/>
    <w:rsid w:val="0000345D"/>
    <w:rsid w:val="00004A01"/>
    <w:rsid w:val="00004DF0"/>
    <w:rsid w:val="00005035"/>
    <w:rsid w:val="000055A9"/>
    <w:rsid w:val="000069ED"/>
    <w:rsid w:val="0000710F"/>
    <w:rsid w:val="0001007C"/>
    <w:rsid w:val="00011736"/>
    <w:rsid w:val="00011D06"/>
    <w:rsid w:val="000126A5"/>
    <w:rsid w:val="0001295D"/>
    <w:rsid w:val="00012BED"/>
    <w:rsid w:val="00012E7C"/>
    <w:rsid w:val="00014388"/>
    <w:rsid w:val="000171A2"/>
    <w:rsid w:val="00017C77"/>
    <w:rsid w:val="00020105"/>
    <w:rsid w:val="00021D83"/>
    <w:rsid w:val="00022AC4"/>
    <w:rsid w:val="00022E4E"/>
    <w:rsid w:val="000233D5"/>
    <w:rsid w:val="00024037"/>
    <w:rsid w:val="000248E2"/>
    <w:rsid w:val="00024E5C"/>
    <w:rsid w:val="00024FBD"/>
    <w:rsid w:val="0002532F"/>
    <w:rsid w:val="00025DE6"/>
    <w:rsid w:val="00027726"/>
    <w:rsid w:val="000301B4"/>
    <w:rsid w:val="00032A9C"/>
    <w:rsid w:val="0003363E"/>
    <w:rsid w:val="000346B1"/>
    <w:rsid w:val="00034A57"/>
    <w:rsid w:val="0003504F"/>
    <w:rsid w:val="00035201"/>
    <w:rsid w:val="0003559D"/>
    <w:rsid w:val="00035C1D"/>
    <w:rsid w:val="000368D1"/>
    <w:rsid w:val="00037DE9"/>
    <w:rsid w:val="00041930"/>
    <w:rsid w:val="00041A3E"/>
    <w:rsid w:val="0004207A"/>
    <w:rsid w:val="0004350C"/>
    <w:rsid w:val="0005172E"/>
    <w:rsid w:val="00054CEB"/>
    <w:rsid w:val="00054E0B"/>
    <w:rsid w:val="00055225"/>
    <w:rsid w:val="00055DC5"/>
    <w:rsid w:val="00056179"/>
    <w:rsid w:val="00057F0B"/>
    <w:rsid w:val="00060564"/>
    <w:rsid w:val="000610C9"/>
    <w:rsid w:val="000615AA"/>
    <w:rsid w:val="00062284"/>
    <w:rsid w:val="000633F0"/>
    <w:rsid w:val="00063551"/>
    <w:rsid w:val="00063B68"/>
    <w:rsid w:val="000641AE"/>
    <w:rsid w:val="0006490B"/>
    <w:rsid w:val="000649A0"/>
    <w:rsid w:val="00064B84"/>
    <w:rsid w:val="0006654D"/>
    <w:rsid w:val="00066571"/>
    <w:rsid w:val="00066842"/>
    <w:rsid w:val="00066C4B"/>
    <w:rsid w:val="00066CE1"/>
    <w:rsid w:val="00067070"/>
    <w:rsid w:val="0007178B"/>
    <w:rsid w:val="000718E2"/>
    <w:rsid w:val="00071B66"/>
    <w:rsid w:val="00071D7E"/>
    <w:rsid w:val="00072581"/>
    <w:rsid w:val="000727F6"/>
    <w:rsid w:val="00072DDF"/>
    <w:rsid w:val="00073DB3"/>
    <w:rsid w:val="00074EE4"/>
    <w:rsid w:val="00075B4E"/>
    <w:rsid w:val="000760C0"/>
    <w:rsid w:val="00076DB7"/>
    <w:rsid w:val="000809B6"/>
    <w:rsid w:val="00080CB8"/>
    <w:rsid w:val="00082965"/>
    <w:rsid w:val="00083FF1"/>
    <w:rsid w:val="000847CB"/>
    <w:rsid w:val="00084D60"/>
    <w:rsid w:val="000859A9"/>
    <w:rsid w:val="00085E10"/>
    <w:rsid w:val="00086E3F"/>
    <w:rsid w:val="000872BF"/>
    <w:rsid w:val="000916C0"/>
    <w:rsid w:val="00094459"/>
    <w:rsid w:val="000946B3"/>
    <w:rsid w:val="00094CD3"/>
    <w:rsid w:val="00095B2D"/>
    <w:rsid w:val="00095C2D"/>
    <w:rsid w:val="0009625E"/>
    <w:rsid w:val="0009708F"/>
    <w:rsid w:val="00097B82"/>
    <w:rsid w:val="0009E7AA"/>
    <w:rsid w:val="000A085E"/>
    <w:rsid w:val="000A0B64"/>
    <w:rsid w:val="000A1713"/>
    <w:rsid w:val="000A1D83"/>
    <w:rsid w:val="000A1E62"/>
    <w:rsid w:val="000A37E8"/>
    <w:rsid w:val="000A48A8"/>
    <w:rsid w:val="000A50B7"/>
    <w:rsid w:val="000A521F"/>
    <w:rsid w:val="000A5237"/>
    <w:rsid w:val="000A5E49"/>
    <w:rsid w:val="000A603D"/>
    <w:rsid w:val="000A7D05"/>
    <w:rsid w:val="000B023B"/>
    <w:rsid w:val="000B0ACE"/>
    <w:rsid w:val="000B1E78"/>
    <w:rsid w:val="000B232C"/>
    <w:rsid w:val="000B2D9C"/>
    <w:rsid w:val="000B334F"/>
    <w:rsid w:val="000B4B9E"/>
    <w:rsid w:val="000B7E90"/>
    <w:rsid w:val="000B7F34"/>
    <w:rsid w:val="000C0B54"/>
    <w:rsid w:val="000C0EC7"/>
    <w:rsid w:val="000C1B77"/>
    <w:rsid w:val="000C24E4"/>
    <w:rsid w:val="000C2BF5"/>
    <w:rsid w:val="000C2F0E"/>
    <w:rsid w:val="000C4D60"/>
    <w:rsid w:val="000C504E"/>
    <w:rsid w:val="000C6547"/>
    <w:rsid w:val="000C66F6"/>
    <w:rsid w:val="000C67F5"/>
    <w:rsid w:val="000C7197"/>
    <w:rsid w:val="000C751E"/>
    <w:rsid w:val="000D006A"/>
    <w:rsid w:val="000D0867"/>
    <w:rsid w:val="000D1297"/>
    <w:rsid w:val="000D12BB"/>
    <w:rsid w:val="000D1894"/>
    <w:rsid w:val="000D4645"/>
    <w:rsid w:val="000D4F40"/>
    <w:rsid w:val="000D53D3"/>
    <w:rsid w:val="000D55EC"/>
    <w:rsid w:val="000D794E"/>
    <w:rsid w:val="000E02AA"/>
    <w:rsid w:val="000E08F6"/>
    <w:rsid w:val="000E0B86"/>
    <w:rsid w:val="000E0DCD"/>
    <w:rsid w:val="000E15B5"/>
    <w:rsid w:val="000E2261"/>
    <w:rsid w:val="000E22A1"/>
    <w:rsid w:val="000E24CD"/>
    <w:rsid w:val="000E2554"/>
    <w:rsid w:val="000E2727"/>
    <w:rsid w:val="000E3067"/>
    <w:rsid w:val="000E3B62"/>
    <w:rsid w:val="000E4C6A"/>
    <w:rsid w:val="000E5021"/>
    <w:rsid w:val="000E57C3"/>
    <w:rsid w:val="000E6171"/>
    <w:rsid w:val="000E6897"/>
    <w:rsid w:val="000E7594"/>
    <w:rsid w:val="000E7C16"/>
    <w:rsid w:val="000E7E14"/>
    <w:rsid w:val="000EB3E0"/>
    <w:rsid w:val="000F0385"/>
    <w:rsid w:val="000F09C9"/>
    <w:rsid w:val="000F1178"/>
    <w:rsid w:val="000F13E5"/>
    <w:rsid w:val="000F19CE"/>
    <w:rsid w:val="000F223D"/>
    <w:rsid w:val="000F26D7"/>
    <w:rsid w:val="000F2F3D"/>
    <w:rsid w:val="000F56A0"/>
    <w:rsid w:val="000F608A"/>
    <w:rsid w:val="000F610B"/>
    <w:rsid w:val="000F73B7"/>
    <w:rsid w:val="000F7406"/>
    <w:rsid w:val="00100576"/>
    <w:rsid w:val="0010160E"/>
    <w:rsid w:val="0010293C"/>
    <w:rsid w:val="0010303C"/>
    <w:rsid w:val="001033AB"/>
    <w:rsid w:val="00103421"/>
    <w:rsid w:val="0010362F"/>
    <w:rsid w:val="001044CD"/>
    <w:rsid w:val="00104A5C"/>
    <w:rsid w:val="0010544F"/>
    <w:rsid w:val="00105803"/>
    <w:rsid w:val="00106586"/>
    <w:rsid w:val="001069C8"/>
    <w:rsid w:val="001075FE"/>
    <w:rsid w:val="001079B3"/>
    <w:rsid w:val="00107B10"/>
    <w:rsid w:val="00110AA8"/>
    <w:rsid w:val="00110CDF"/>
    <w:rsid w:val="00111245"/>
    <w:rsid w:val="00111BBA"/>
    <w:rsid w:val="00111C6F"/>
    <w:rsid w:val="0011398E"/>
    <w:rsid w:val="001140A0"/>
    <w:rsid w:val="0011487D"/>
    <w:rsid w:val="00114A65"/>
    <w:rsid w:val="00117F76"/>
    <w:rsid w:val="00120420"/>
    <w:rsid w:val="0012066D"/>
    <w:rsid w:val="00120BE7"/>
    <w:rsid w:val="001210DD"/>
    <w:rsid w:val="00122520"/>
    <w:rsid w:val="00122B0B"/>
    <w:rsid w:val="00123926"/>
    <w:rsid w:val="0012478D"/>
    <w:rsid w:val="00124EA5"/>
    <w:rsid w:val="00125725"/>
    <w:rsid w:val="00125857"/>
    <w:rsid w:val="0012630A"/>
    <w:rsid w:val="00126A15"/>
    <w:rsid w:val="00126BCA"/>
    <w:rsid w:val="00126C39"/>
    <w:rsid w:val="00127168"/>
    <w:rsid w:val="0012B153"/>
    <w:rsid w:val="001332C2"/>
    <w:rsid w:val="001348F8"/>
    <w:rsid w:val="00134BB3"/>
    <w:rsid w:val="00136008"/>
    <w:rsid w:val="00136098"/>
    <w:rsid w:val="001362A1"/>
    <w:rsid w:val="0013654C"/>
    <w:rsid w:val="00136887"/>
    <w:rsid w:val="0013691E"/>
    <w:rsid w:val="001369F3"/>
    <w:rsid w:val="0013734C"/>
    <w:rsid w:val="001418B2"/>
    <w:rsid w:val="00141A83"/>
    <w:rsid w:val="001422B7"/>
    <w:rsid w:val="00142B0E"/>
    <w:rsid w:val="00143239"/>
    <w:rsid w:val="00143291"/>
    <w:rsid w:val="00143F56"/>
    <w:rsid w:val="00144144"/>
    <w:rsid w:val="00145AE6"/>
    <w:rsid w:val="00145E8F"/>
    <w:rsid w:val="00151505"/>
    <w:rsid w:val="00151801"/>
    <w:rsid w:val="00153259"/>
    <w:rsid w:val="001532B3"/>
    <w:rsid w:val="001534DE"/>
    <w:rsid w:val="001539C7"/>
    <w:rsid w:val="00153DE9"/>
    <w:rsid w:val="00155906"/>
    <w:rsid w:val="00156157"/>
    <w:rsid w:val="00160569"/>
    <w:rsid w:val="0016091B"/>
    <w:rsid w:val="00160DDD"/>
    <w:rsid w:val="00161432"/>
    <w:rsid w:val="00161FB5"/>
    <w:rsid w:val="00162208"/>
    <w:rsid w:val="00162922"/>
    <w:rsid w:val="00163CB9"/>
    <w:rsid w:val="00166F37"/>
    <w:rsid w:val="00167C66"/>
    <w:rsid w:val="00167F84"/>
    <w:rsid w:val="00170544"/>
    <w:rsid w:val="00171AD7"/>
    <w:rsid w:val="00172A34"/>
    <w:rsid w:val="00173137"/>
    <w:rsid w:val="00173DAF"/>
    <w:rsid w:val="0017554E"/>
    <w:rsid w:val="00176382"/>
    <w:rsid w:val="0017704D"/>
    <w:rsid w:val="00177B63"/>
    <w:rsid w:val="001803A2"/>
    <w:rsid w:val="001806CB"/>
    <w:rsid w:val="00183848"/>
    <w:rsid w:val="00185E82"/>
    <w:rsid w:val="0018781C"/>
    <w:rsid w:val="001905E0"/>
    <w:rsid w:val="00191EF9"/>
    <w:rsid w:val="00192CA7"/>
    <w:rsid w:val="001946E3"/>
    <w:rsid w:val="001947B8"/>
    <w:rsid w:val="00194D77"/>
    <w:rsid w:val="00194E96"/>
    <w:rsid w:val="001952EB"/>
    <w:rsid w:val="00195633"/>
    <w:rsid w:val="0019606C"/>
    <w:rsid w:val="00197EB9"/>
    <w:rsid w:val="001A0A08"/>
    <w:rsid w:val="001A192B"/>
    <w:rsid w:val="001A2EF0"/>
    <w:rsid w:val="001A3074"/>
    <w:rsid w:val="001A4BC0"/>
    <w:rsid w:val="001A5588"/>
    <w:rsid w:val="001A59A6"/>
    <w:rsid w:val="001A5AAE"/>
    <w:rsid w:val="001A65D7"/>
    <w:rsid w:val="001B0100"/>
    <w:rsid w:val="001B1493"/>
    <w:rsid w:val="001B1CB1"/>
    <w:rsid w:val="001B1CEA"/>
    <w:rsid w:val="001B1FEE"/>
    <w:rsid w:val="001B2159"/>
    <w:rsid w:val="001B25C7"/>
    <w:rsid w:val="001B44DD"/>
    <w:rsid w:val="001B53FB"/>
    <w:rsid w:val="001B6249"/>
    <w:rsid w:val="001B73DB"/>
    <w:rsid w:val="001B7D6F"/>
    <w:rsid w:val="001C267C"/>
    <w:rsid w:val="001C287D"/>
    <w:rsid w:val="001C2BA0"/>
    <w:rsid w:val="001C4172"/>
    <w:rsid w:val="001C4F7B"/>
    <w:rsid w:val="001C50E1"/>
    <w:rsid w:val="001C6323"/>
    <w:rsid w:val="001C7337"/>
    <w:rsid w:val="001C7981"/>
    <w:rsid w:val="001D0329"/>
    <w:rsid w:val="001D0C8B"/>
    <w:rsid w:val="001D167B"/>
    <w:rsid w:val="001D197F"/>
    <w:rsid w:val="001D21A4"/>
    <w:rsid w:val="001D2AE1"/>
    <w:rsid w:val="001D2BCE"/>
    <w:rsid w:val="001D3559"/>
    <w:rsid w:val="001D37DD"/>
    <w:rsid w:val="001D3EFE"/>
    <w:rsid w:val="001D4021"/>
    <w:rsid w:val="001D47B1"/>
    <w:rsid w:val="001D4C1C"/>
    <w:rsid w:val="001D53BB"/>
    <w:rsid w:val="001D5BC3"/>
    <w:rsid w:val="001D721F"/>
    <w:rsid w:val="001D7836"/>
    <w:rsid w:val="001D7E40"/>
    <w:rsid w:val="001E0130"/>
    <w:rsid w:val="001E10F2"/>
    <w:rsid w:val="001E20EB"/>
    <w:rsid w:val="001E262F"/>
    <w:rsid w:val="001E2A32"/>
    <w:rsid w:val="001E2FFA"/>
    <w:rsid w:val="001E355B"/>
    <w:rsid w:val="001E36B4"/>
    <w:rsid w:val="001E381E"/>
    <w:rsid w:val="001E3865"/>
    <w:rsid w:val="001E3C79"/>
    <w:rsid w:val="001E4743"/>
    <w:rsid w:val="001E4D15"/>
    <w:rsid w:val="001E543C"/>
    <w:rsid w:val="001E54BF"/>
    <w:rsid w:val="001E5836"/>
    <w:rsid w:val="001E5888"/>
    <w:rsid w:val="001E5D91"/>
    <w:rsid w:val="001E74C1"/>
    <w:rsid w:val="001F13EA"/>
    <w:rsid w:val="001F19F0"/>
    <w:rsid w:val="001F2949"/>
    <w:rsid w:val="001F2C56"/>
    <w:rsid w:val="001F307B"/>
    <w:rsid w:val="001F336A"/>
    <w:rsid w:val="001F3CFD"/>
    <w:rsid w:val="001F410A"/>
    <w:rsid w:val="001F43CD"/>
    <w:rsid w:val="001F4E2F"/>
    <w:rsid w:val="001F51E2"/>
    <w:rsid w:val="001F642F"/>
    <w:rsid w:val="001F665E"/>
    <w:rsid w:val="0020006F"/>
    <w:rsid w:val="00200E14"/>
    <w:rsid w:val="002023E3"/>
    <w:rsid w:val="002025F5"/>
    <w:rsid w:val="00203292"/>
    <w:rsid w:val="00203CF2"/>
    <w:rsid w:val="0020441F"/>
    <w:rsid w:val="00204C86"/>
    <w:rsid w:val="00206166"/>
    <w:rsid w:val="002063B5"/>
    <w:rsid w:val="002063DD"/>
    <w:rsid w:val="00207803"/>
    <w:rsid w:val="00210374"/>
    <w:rsid w:val="00210CCE"/>
    <w:rsid w:val="00210D9E"/>
    <w:rsid w:val="00210E81"/>
    <w:rsid w:val="0021244A"/>
    <w:rsid w:val="00212DBB"/>
    <w:rsid w:val="002131DA"/>
    <w:rsid w:val="00214FA1"/>
    <w:rsid w:val="00215618"/>
    <w:rsid w:val="00217204"/>
    <w:rsid w:val="002176AC"/>
    <w:rsid w:val="00217A0D"/>
    <w:rsid w:val="00221239"/>
    <w:rsid w:val="002219B4"/>
    <w:rsid w:val="00221E44"/>
    <w:rsid w:val="00222192"/>
    <w:rsid w:val="002227FF"/>
    <w:rsid w:val="00223E45"/>
    <w:rsid w:val="00223E4F"/>
    <w:rsid w:val="00225D47"/>
    <w:rsid w:val="00225F9A"/>
    <w:rsid w:val="0022671B"/>
    <w:rsid w:val="002271A0"/>
    <w:rsid w:val="0022769E"/>
    <w:rsid w:val="00230053"/>
    <w:rsid w:val="00230146"/>
    <w:rsid w:val="002323B0"/>
    <w:rsid w:val="00232945"/>
    <w:rsid w:val="002333AF"/>
    <w:rsid w:val="00233F66"/>
    <w:rsid w:val="0023598A"/>
    <w:rsid w:val="00235D95"/>
    <w:rsid w:val="00236429"/>
    <w:rsid w:val="00236A50"/>
    <w:rsid w:val="00237239"/>
    <w:rsid w:val="00237357"/>
    <w:rsid w:val="00237ACE"/>
    <w:rsid w:val="00240574"/>
    <w:rsid w:val="00240F80"/>
    <w:rsid w:val="0024151F"/>
    <w:rsid w:val="0024153C"/>
    <w:rsid w:val="00241880"/>
    <w:rsid w:val="0024258A"/>
    <w:rsid w:val="00242BF3"/>
    <w:rsid w:val="00242EE2"/>
    <w:rsid w:val="00244223"/>
    <w:rsid w:val="0024422F"/>
    <w:rsid w:val="00247C46"/>
    <w:rsid w:val="00247D58"/>
    <w:rsid w:val="002503D0"/>
    <w:rsid w:val="00250562"/>
    <w:rsid w:val="002515DA"/>
    <w:rsid w:val="00252D17"/>
    <w:rsid w:val="00254A06"/>
    <w:rsid w:val="00254C73"/>
    <w:rsid w:val="00255837"/>
    <w:rsid w:val="002560A1"/>
    <w:rsid w:val="002564CD"/>
    <w:rsid w:val="00257BE7"/>
    <w:rsid w:val="00260126"/>
    <w:rsid w:val="002643EB"/>
    <w:rsid w:val="0026486F"/>
    <w:rsid w:val="00265132"/>
    <w:rsid w:val="00265190"/>
    <w:rsid w:val="0026643F"/>
    <w:rsid w:val="0026772B"/>
    <w:rsid w:val="00267EC0"/>
    <w:rsid w:val="002704CF"/>
    <w:rsid w:val="00271593"/>
    <w:rsid w:val="00272863"/>
    <w:rsid w:val="00273238"/>
    <w:rsid w:val="00273649"/>
    <w:rsid w:val="0027449A"/>
    <w:rsid w:val="0027484E"/>
    <w:rsid w:val="0027507B"/>
    <w:rsid w:val="00277BCC"/>
    <w:rsid w:val="00277F27"/>
    <w:rsid w:val="00280529"/>
    <w:rsid w:val="00280B22"/>
    <w:rsid w:val="00280D59"/>
    <w:rsid w:val="00281576"/>
    <w:rsid w:val="002820C7"/>
    <w:rsid w:val="00282BBC"/>
    <w:rsid w:val="00285342"/>
    <w:rsid w:val="00290607"/>
    <w:rsid w:val="00291089"/>
    <w:rsid w:val="00291B8E"/>
    <w:rsid w:val="00291DA9"/>
    <w:rsid w:val="002920B3"/>
    <w:rsid w:val="00292687"/>
    <w:rsid w:val="00292969"/>
    <w:rsid w:val="00292DF9"/>
    <w:rsid w:val="00293461"/>
    <w:rsid w:val="002946E1"/>
    <w:rsid w:val="00294D7B"/>
    <w:rsid w:val="0029532B"/>
    <w:rsid w:val="002954DF"/>
    <w:rsid w:val="00295793"/>
    <w:rsid w:val="00295A7D"/>
    <w:rsid w:val="00295DA3"/>
    <w:rsid w:val="0029628B"/>
    <w:rsid w:val="002A02B6"/>
    <w:rsid w:val="002A0B58"/>
    <w:rsid w:val="002A1B6D"/>
    <w:rsid w:val="002A2A54"/>
    <w:rsid w:val="002A2E31"/>
    <w:rsid w:val="002A339E"/>
    <w:rsid w:val="002A436D"/>
    <w:rsid w:val="002A6510"/>
    <w:rsid w:val="002A6536"/>
    <w:rsid w:val="002A68DA"/>
    <w:rsid w:val="002A6FCC"/>
    <w:rsid w:val="002A72D7"/>
    <w:rsid w:val="002A7516"/>
    <w:rsid w:val="002A7628"/>
    <w:rsid w:val="002A7932"/>
    <w:rsid w:val="002A7C61"/>
    <w:rsid w:val="002B020A"/>
    <w:rsid w:val="002B02AC"/>
    <w:rsid w:val="002B0A59"/>
    <w:rsid w:val="002B0D7F"/>
    <w:rsid w:val="002B0DEF"/>
    <w:rsid w:val="002B0F53"/>
    <w:rsid w:val="002B1936"/>
    <w:rsid w:val="002B1D73"/>
    <w:rsid w:val="002B1FA7"/>
    <w:rsid w:val="002B21B7"/>
    <w:rsid w:val="002B3EC1"/>
    <w:rsid w:val="002B6C38"/>
    <w:rsid w:val="002C0165"/>
    <w:rsid w:val="002C051B"/>
    <w:rsid w:val="002C130B"/>
    <w:rsid w:val="002C24FE"/>
    <w:rsid w:val="002C3337"/>
    <w:rsid w:val="002C3C64"/>
    <w:rsid w:val="002C3DD8"/>
    <w:rsid w:val="002C3DEE"/>
    <w:rsid w:val="002C3FA2"/>
    <w:rsid w:val="002C4874"/>
    <w:rsid w:val="002C4CBB"/>
    <w:rsid w:val="002C4D2B"/>
    <w:rsid w:val="002C5475"/>
    <w:rsid w:val="002C6E50"/>
    <w:rsid w:val="002C6ED7"/>
    <w:rsid w:val="002C7026"/>
    <w:rsid w:val="002C78C3"/>
    <w:rsid w:val="002D0EE5"/>
    <w:rsid w:val="002D18EC"/>
    <w:rsid w:val="002D2403"/>
    <w:rsid w:val="002D312D"/>
    <w:rsid w:val="002D4A22"/>
    <w:rsid w:val="002D4E69"/>
    <w:rsid w:val="002D6281"/>
    <w:rsid w:val="002D76EC"/>
    <w:rsid w:val="002E0545"/>
    <w:rsid w:val="002E1FA2"/>
    <w:rsid w:val="002E2E33"/>
    <w:rsid w:val="002E3688"/>
    <w:rsid w:val="002E37E6"/>
    <w:rsid w:val="002E3E50"/>
    <w:rsid w:val="002E40BE"/>
    <w:rsid w:val="002E5142"/>
    <w:rsid w:val="002E6490"/>
    <w:rsid w:val="002E7D8D"/>
    <w:rsid w:val="002E7EBB"/>
    <w:rsid w:val="002F0AC0"/>
    <w:rsid w:val="002F1704"/>
    <w:rsid w:val="002F24EF"/>
    <w:rsid w:val="002F313B"/>
    <w:rsid w:val="002F3E95"/>
    <w:rsid w:val="002F4877"/>
    <w:rsid w:val="002F586F"/>
    <w:rsid w:val="002F5B15"/>
    <w:rsid w:val="002F639D"/>
    <w:rsid w:val="002F7ABE"/>
    <w:rsid w:val="002F7C45"/>
    <w:rsid w:val="003001C2"/>
    <w:rsid w:val="003004B3"/>
    <w:rsid w:val="00300675"/>
    <w:rsid w:val="0030088C"/>
    <w:rsid w:val="00301844"/>
    <w:rsid w:val="003019E2"/>
    <w:rsid w:val="00301E4F"/>
    <w:rsid w:val="00302679"/>
    <w:rsid w:val="00303287"/>
    <w:rsid w:val="00305904"/>
    <w:rsid w:val="00305F91"/>
    <w:rsid w:val="00306134"/>
    <w:rsid w:val="0031019C"/>
    <w:rsid w:val="00310797"/>
    <w:rsid w:val="00311EC6"/>
    <w:rsid w:val="0031220A"/>
    <w:rsid w:val="003126C9"/>
    <w:rsid w:val="00312C0A"/>
    <w:rsid w:val="00313027"/>
    <w:rsid w:val="0031325B"/>
    <w:rsid w:val="00313BE1"/>
    <w:rsid w:val="003140EA"/>
    <w:rsid w:val="0031491F"/>
    <w:rsid w:val="003158E3"/>
    <w:rsid w:val="00315A83"/>
    <w:rsid w:val="003166EF"/>
    <w:rsid w:val="0031690B"/>
    <w:rsid w:val="00316BA5"/>
    <w:rsid w:val="00316D4B"/>
    <w:rsid w:val="00317886"/>
    <w:rsid w:val="00322165"/>
    <w:rsid w:val="0032249F"/>
    <w:rsid w:val="00323914"/>
    <w:rsid w:val="00323A25"/>
    <w:rsid w:val="0032406B"/>
    <w:rsid w:val="003245D9"/>
    <w:rsid w:val="00324E59"/>
    <w:rsid w:val="00326905"/>
    <w:rsid w:val="00330F80"/>
    <w:rsid w:val="00331FBB"/>
    <w:rsid w:val="0033366D"/>
    <w:rsid w:val="0033441A"/>
    <w:rsid w:val="00334B92"/>
    <w:rsid w:val="00335173"/>
    <w:rsid w:val="0033545F"/>
    <w:rsid w:val="003357C7"/>
    <w:rsid w:val="00335C07"/>
    <w:rsid w:val="0033734D"/>
    <w:rsid w:val="0033779A"/>
    <w:rsid w:val="0034042E"/>
    <w:rsid w:val="00340DB4"/>
    <w:rsid w:val="00341323"/>
    <w:rsid w:val="00341AAA"/>
    <w:rsid w:val="00342C58"/>
    <w:rsid w:val="003435D9"/>
    <w:rsid w:val="00343624"/>
    <w:rsid w:val="003441DE"/>
    <w:rsid w:val="00344271"/>
    <w:rsid w:val="00344F06"/>
    <w:rsid w:val="00345673"/>
    <w:rsid w:val="003459D4"/>
    <w:rsid w:val="00346383"/>
    <w:rsid w:val="003464DD"/>
    <w:rsid w:val="00346B99"/>
    <w:rsid w:val="00347156"/>
    <w:rsid w:val="003471D9"/>
    <w:rsid w:val="00347850"/>
    <w:rsid w:val="00351D7A"/>
    <w:rsid w:val="00351DD5"/>
    <w:rsid w:val="00352253"/>
    <w:rsid w:val="003525B1"/>
    <w:rsid w:val="003525F4"/>
    <w:rsid w:val="00352DAA"/>
    <w:rsid w:val="003534E0"/>
    <w:rsid w:val="00353973"/>
    <w:rsid w:val="00353B9C"/>
    <w:rsid w:val="0035452C"/>
    <w:rsid w:val="0035490A"/>
    <w:rsid w:val="00355705"/>
    <w:rsid w:val="003558EC"/>
    <w:rsid w:val="00355BF9"/>
    <w:rsid w:val="00360D77"/>
    <w:rsid w:val="00361946"/>
    <w:rsid w:val="00361FCE"/>
    <w:rsid w:val="003638F9"/>
    <w:rsid w:val="003639AC"/>
    <w:rsid w:val="003641E9"/>
    <w:rsid w:val="00365429"/>
    <w:rsid w:val="00365CA2"/>
    <w:rsid w:val="0036614D"/>
    <w:rsid w:val="00366C0C"/>
    <w:rsid w:val="00366CEE"/>
    <w:rsid w:val="00367D49"/>
    <w:rsid w:val="0036C2F7"/>
    <w:rsid w:val="003702D2"/>
    <w:rsid w:val="0037051D"/>
    <w:rsid w:val="003707D6"/>
    <w:rsid w:val="003714C9"/>
    <w:rsid w:val="003723AA"/>
    <w:rsid w:val="003736AE"/>
    <w:rsid w:val="00373FD9"/>
    <w:rsid w:val="0037423B"/>
    <w:rsid w:val="003759B8"/>
    <w:rsid w:val="003759E9"/>
    <w:rsid w:val="00375E42"/>
    <w:rsid w:val="00375F5E"/>
    <w:rsid w:val="0037727C"/>
    <w:rsid w:val="0038017C"/>
    <w:rsid w:val="00380A6F"/>
    <w:rsid w:val="00381315"/>
    <w:rsid w:val="00382046"/>
    <w:rsid w:val="00382AC0"/>
    <w:rsid w:val="00383E33"/>
    <w:rsid w:val="00384FE1"/>
    <w:rsid w:val="003853E5"/>
    <w:rsid w:val="00385E15"/>
    <w:rsid w:val="00386AB2"/>
    <w:rsid w:val="0038739C"/>
    <w:rsid w:val="00387FD3"/>
    <w:rsid w:val="003905CD"/>
    <w:rsid w:val="00390EB6"/>
    <w:rsid w:val="00391E53"/>
    <w:rsid w:val="003926D9"/>
    <w:rsid w:val="003929F2"/>
    <w:rsid w:val="003933DE"/>
    <w:rsid w:val="003935FA"/>
    <w:rsid w:val="003938E0"/>
    <w:rsid w:val="00394235"/>
    <w:rsid w:val="00394A83"/>
    <w:rsid w:val="00396CD0"/>
    <w:rsid w:val="003973B7"/>
    <w:rsid w:val="00397483"/>
    <w:rsid w:val="003A06C9"/>
    <w:rsid w:val="003A0AC2"/>
    <w:rsid w:val="003A0D0E"/>
    <w:rsid w:val="003A32D8"/>
    <w:rsid w:val="003A4642"/>
    <w:rsid w:val="003A47A0"/>
    <w:rsid w:val="003A5494"/>
    <w:rsid w:val="003A5E9E"/>
    <w:rsid w:val="003A64B5"/>
    <w:rsid w:val="003B0BF6"/>
    <w:rsid w:val="003B1493"/>
    <w:rsid w:val="003B2322"/>
    <w:rsid w:val="003B2592"/>
    <w:rsid w:val="003B3FD0"/>
    <w:rsid w:val="003B46E1"/>
    <w:rsid w:val="003B4838"/>
    <w:rsid w:val="003B5C3F"/>
    <w:rsid w:val="003B6572"/>
    <w:rsid w:val="003B6BE8"/>
    <w:rsid w:val="003B73E1"/>
    <w:rsid w:val="003C0016"/>
    <w:rsid w:val="003C03CF"/>
    <w:rsid w:val="003C0ECC"/>
    <w:rsid w:val="003C16B8"/>
    <w:rsid w:val="003C259F"/>
    <w:rsid w:val="003C34B9"/>
    <w:rsid w:val="003C34E5"/>
    <w:rsid w:val="003C4B5C"/>
    <w:rsid w:val="003C5615"/>
    <w:rsid w:val="003C5B3F"/>
    <w:rsid w:val="003C5F53"/>
    <w:rsid w:val="003C6E78"/>
    <w:rsid w:val="003C7490"/>
    <w:rsid w:val="003D0794"/>
    <w:rsid w:val="003D0802"/>
    <w:rsid w:val="003D0863"/>
    <w:rsid w:val="003D2F7F"/>
    <w:rsid w:val="003D3B7D"/>
    <w:rsid w:val="003D4219"/>
    <w:rsid w:val="003D4862"/>
    <w:rsid w:val="003E0F41"/>
    <w:rsid w:val="003E13CA"/>
    <w:rsid w:val="003E14FC"/>
    <w:rsid w:val="003E1CCE"/>
    <w:rsid w:val="003E1E3C"/>
    <w:rsid w:val="003E21A8"/>
    <w:rsid w:val="003E3789"/>
    <w:rsid w:val="003E4119"/>
    <w:rsid w:val="003E45F4"/>
    <w:rsid w:val="003E471C"/>
    <w:rsid w:val="003E5C64"/>
    <w:rsid w:val="003E6254"/>
    <w:rsid w:val="003E657F"/>
    <w:rsid w:val="003E73FF"/>
    <w:rsid w:val="003E79D4"/>
    <w:rsid w:val="003E7A55"/>
    <w:rsid w:val="003F0367"/>
    <w:rsid w:val="003F0D07"/>
    <w:rsid w:val="003F10CE"/>
    <w:rsid w:val="003F111D"/>
    <w:rsid w:val="003F2890"/>
    <w:rsid w:val="003F2B43"/>
    <w:rsid w:val="003F3A58"/>
    <w:rsid w:val="003F4640"/>
    <w:rsid w:val="003F65F9"/>
    <w:rsid w:val="004005E9"/>
    <w:rsid w:val="004007B6"/>
    <w:rsid w:val="00400B69"/>
    <w:rsid w:val="0040118B"/>
    <w:rsid w:val="004029C0"/>
    <w:rsid w:val="00402CED"/>
    <w:rsid w:val="00403DF5"/>
    <w:rsid w:val="0040570B"/>
    <w:rsid w:val="004063D8"/>
    <w:rsid w:val="00407154"/>
    <w:rsid w:val="004078A6"/>
    <w:rsid w:val="0041030A"/>
    <w:rsid w:val="00410A52"/>
    <w:rsid w:val="00412882"/>
    <w:rsid w:val="004133E3"/>
    <w:rsid w:val="00413424"/>
    <w:rsid w:val="00414E92"/>
    <w:rsid w:val="004176FF"/>
    <w:rsid w:val="0042055F"/>
    <w:rsid w:val="004207F0"/>
    <w:rsid w:val="00421DB6"/>
    <w:rsid w:val="00422022"/>
    <w:rsid w:val="00422423"/>
    <w:rsid w:val="00423662"/>
    <w:rsid w:val="004242FC"/>
    <w:rsid w:val="004244FD"/>
    <w:rsid w:val="00424CAF"/>
    <w:rsid w:val="004250EC"/>
    <w:rsid w:val="00425230"/>
    <w:rsid w:val="00425266"/>
    <w:rsid w:val="00425308"/>
    <w:rsid w:val="004257AB"/>
    <w:rsid w:val="0042668E"/>
    <w:rsid w:val="00426854"/>
    <w:rsid w:val="00430C71"/>
    <w:rsid w:val="004314A0"/>
    <w:rsid w:val="004325A1"/>
    <w:rsid w:val="0043332C"/>
    <w:rsid w:val="00434997"/>
    <w:rsid w:val="00434EF4"/>
    <w:rsid w:val="00435265"/>
    <w:rsid w:val="004369DD"/>
    <w:rsid w:val="00437288"/>
    <w:rsid w:val="00442C6D"/>
    <w:rsid w:val="00443EAB"/>
    <w:rsid w:val="0044400A"/>
    <w:rsid w:val="004443E4"/>
    <w:rsid w:val="00445467"/>
    <w:rsid w:val="004458E8"/>
    <w:rsid w:val="00445B18"/>
    <w:rsid w:val="00445C4E"/>
    <w:rsid w:val="004463A5"/>
    <w:rsid w:val="00446CFA"/>
    <w:rsid w:val="00447CC6"/>
    <w:rsid w:val="00451234"/>
    <w:rsid w:val="00451E9A"/>
    <w:rsid w:val="0045280E"/>
    <w:rsid w:val="004534BD"/>
    <w:rsid w:val="00453750"/>
    <w:rsid w:val="0045547E"/>
    <w:rsid w:val="004557A3"/>
    <w:rsid w:val="0045602C"/>
    <w:rsid w:val="004603F8"/>
    <w:rsid w:val="00460E80"/>
    <w:rsid w:val="00461422"/>
    <w:rsid w:val="004628DB"/>
    <w:rsid w:val="00463AC5"/>
    <w:rsid w:val="00463DA3"/>
    <w:rsid w:val="00464472"/>
    <w:rsid w:val="00464D4E"/>
    <w:rsid w:val="00466307"/>
    <w:rsid w:val="004668BE"/>
    <w:rsid w:val="004670A8"/>
    <w:rsid w:val="004676C3"/>
    <w:rsid w:val="00471F14"/>
    <w:rsid w:val="00472848"/>
    <w:rsid w:val="00472902"/>
    <w:rsid w:val="00473812"/>
    <w:rsid w:val="0047383C"/>
    <w:rsid w:val="004743EC"/>
    <w:rsid w:val="004754A0"/>
    <w:rsid w:val="0047575D"/>
    <w:rsid w:val="00475D03"/>
    <w:rsid w:val="00477039"/>
    <w:rsid w:val="004774AE"/>
    <w:rsid w:val="00477A5D"/>
    <w:rsid w:val="00480757"/>
    <w:rsid w:val="00483F4F"/>
    <w:rsid w:val="00484623"/>
    <w:rsid w:val="004848F7"/>
    <w:rsid w:val="00484B59"/>
    <w:rsid w:val="00484CED"/>
    <w:rsid w:val="004860A8"/>
    <w:rsid w:val="00487DCA"/>
    <w:rsid w:val="004908BD"/>
    <w:rsid w:val="00490CEB"/>
    <w:rsid w:val="004922B8"/>
    <w:rsid w:val="00492D02"/>
    <w:rsid w:val="00493AFF"/>
    <w:rsid w:val="00493EFD"/>
    <w:rsid w:val="00493F91"/>
    <w:rsid w:val="00494984"/>
    <w:rsid w:val="00496A36"/>
    <w:rsid w:val="00496DFD"/>
    <w:rsid w:val="00497394"/>
    <w:rsid w:val="00497C14"/>
    <w:rsid w:val="00497E41"/>
    <w:rsid w:val="004A01D2"/>
    <w:rsid w:val="004A0D83"/>
    <w:rsid w:val="004A1E11"/>
    <w:rsid w:val="004A2512"/>
    <w:rsid w:val="004A2C50"/>
    <w:rsid w:val="004A32D3"/>
    <w:rsid w:val="004A3B4B"/>
    <w:rsid w:val="004A3DF2"/>
    <w:rsid w:val="004A4286"/>
    <w:rsid w:val="004A55FE"/>
    <w:rsid w:val="004A6385"/>
    <w:rsid w:val="004A6DF0"/>
    <w:rsid w:val="004A776A"/>
    <w:rsid w:val="004A7D67"/>
    <w:rsid w:val="004A7EEA"/>
    <w:rsid w:val="004B08BA"/>
    <w:rsid w:val="004B1839"/>
    <w:rsid w:val="004B255A"/>
    <w:rsid w:val="004B2F1C"/>
    <w:rsid w:val="004B321B"/>
    <w:rsid w:val="004B3E97"/>
    <w:rsid w:val="004B500F"/>
    <w:rsid w:val="004B7C1F"/>
    <w:rsid w:val="004B7C90"/>
    <w:rsid w:val="004B7DF9"/>
    <w:rsid w:val="004C03CA"/>
    <w:rsid w:val="004C03FC"/>
    <w:rsid w:val="004C1D6A"/>
    <w:rsid w:val="004C22EA"/>
    <w:rsid w:val="004C2F95"/>
    <w:rsid w:val="004C30A4"/>
    <w:rsid w:val="004C3FCD"/>
    <w:rsid w:val="004C639D"/>
    <w:rsid w:val="004C793C"/>
    <w:rsid w:val="004C7D3E"/>
    <w:rsid w:val="004C7D80"/>
    <w:rsid w:val="004D1141"/>
    <w:rsid w:val="004D13C5"/>
    <w:rsid w:val="004D204E"/>
    <w:rsid w:val="004D2255"/>
    <w:rsid w:val="004D45EC"/>
    <w:rsid w:val="004D7A29"/>
    <w:rsid w:val="004E0116"/>
    <w:rsid w:val="004E0883"/>
    <w:rsid w:val="004E11BE"/>
    <w:rsid w:val="004E1B00"/>
    <w:rsid w:val="004E2AD3"/>
    <w:rsid w:val="004E5BD4"/>
    <w:rsid w:val="004E5F81"/>
    <w:rsid w:val="004E615A"/>
    <w:rsid w:val="004E631F"/>
    <w:rsid w:val="004E6553"/>
    <w:rsid w:val="004E6591"/>
    <w:rsid w:val="004E6B82"/>
    <w:rsid w:val="004E756E"/>
    <w:rsid w:val="004E9BD4"/>
    <w:rsid w:val="004F01FE"/>
    <w:rsid w:val="004F1649"/>
    <w:rsid w:val="004F1F61"/>
    <w:rsid w:val="004F2B4D"/>
    <w:rsid w:val="004F3233"/>
    <w:rsid w:val="004F32B6"/>
    <w:rsid w:val="004F38A9"/>
    <w:rsid w:val="004F5CE9"/>
    <w:rsid w:val="004F770B"/>
    <w:rsid w:val="00500574"/>
    <w:rsid w:val="00500611"/>
    <w:rsid w:val="00501132"/>
    <w:rsid w:val="0050136B"/>
    <w:rsid w:val="0050245A"/>
    <w:rsid w:val="00503B0C"/>
    <w:rsid w:val="00503BE9"/>
    <w:rsid w:val="00503C24"/>
    <w:rsid w:val="005042EE"/>
    <w:rsid w:val="00504CF9"/>
    <w:rsid w:val="00505BE3"/>
    <w:rsid w:val="00506142"/>
    <w:rsid w:val="0050736B"/>
    <w:rsid w:val="00507868"/>
    <w:rsid w:val="005078BC"/>
    <w:rsid w:val="005103AF"/>
    <w:rsid w:val="005104D9"/>
    <w:rsid w:val="0051113F"/>
    <w:rsid w:val="005113FE"/>
    <w:rsid w:val="00512B0C"/>
    <w:rsid w:val="00512E38"/>
    <w:rsid w:val="005138CB"/>
    <w:rsid w:val="005141C9"/>
    <w:rsid w:val="00514252"/>
    <w:rsid w:val="005149A8"/>
    <w:rsid w:val="00514E34"/>
    <w:rsid w:val="00515CA6"/>
    <w:rsid w:val="0051661E"/>
    <w:rsid w:val="00516813"/>
    <w:rsid w:val="0051725E"/>
    <w:rsid w:val="00517557"/>
    <w:rsid w:val="0051793E"/>
    <w:rsid w:val="0051794C"/>
    <w:rsid w:val="00522103"/>
    <w:rsid w:val="005221F9"/>
    <w:rsid w:val="005224A1"/>
    <w:rsid w:val="005229E5"/>
    <w:rsid w:val="00523393"/>
    <w:rsid w:val="00523B38"/>
    <w:rsid w:val="00523EA7"/>
    <w:rsid w:val="005243FC"/>
    <w:rsid w:val="00524AC6"/>
    <w:rsid w:val="00524FF6"/>
    <w:rsid w:val="00525543"/>
    <w:rsid w:val="00526F1F"/>
    <w:rsid w:val="005273C2"/>
    <w:rsid w:val="00527772"/>
    <w:rsid w:val="00527FCC"/>
    <w:rsid w:val="005302C0"/>
    <w:rsid w:val="00531303"/>
    <w:rsid w:val="0053226E"/>
    <w:rsid w:val="00532B77"/>
    <w:rsid w:val="00535894"/>
    <w:rsid w:val="0053597E"/>
    <w:rsid w:val="00536066"/>
    <w:rsid w:val="005363C2"/>
    <w:rsid w:val="00536610"/>
    <w:rsid w:val="0053667B"/>
    <w:rsid w:val="0053674E"/>
    <w:rsid w:val="00536C76"/>
    <w:rsid w:val="00540532"/>
    <w:rsid w:val="00540F2D"/>
    <w:rsid w:val="00541075"/>
    <w:rsid w:val="005419CA"/>
    <w:rsid w:val="0054301F"/>
    <w:rsid w:val="0054462F"/>
    <w:rsid w:val="005454C3"/>
    <w:rsid w:val="00545875"/>
    <w:rsid w:val="00545E3D"/>
    <w:rsid w:val="0054765B"/>
    <w:rsid w:val="00551317"/>
    <w:rsid w:val="00551355"/>
    <w:rsid w:val="00553AC6"/>
    <w:rsid w:val="00554C12"/>
    <w:rsid w:val="00554DC4"/>
    <w:rsid w:val="00555495"/>
    <w:rsid w:val="005570B6"/>
    <w:rsid w:val="0055731B"/>
    <w:rsid w:val="0055788C"/>
    <w:rsid w:val="00557B19"/>
    <w:rsid w:val="00557E76"/>
    <w:rsid w:val="00559EB7"/>
    <w:rsid w:val="00560A9B"/>
    <w:rsid w:val="00560FC6"/>
    <w:rsid w:val="00562D9E"/>
    <w:rsid w:val="00563297"/>
    <w:rsid w:val="005633AB"/>
    <w:rsid w:val="00564078"/>
    <w:rsid w:val="00564249"/>
    <w:rsid w:val="00565B70"/>
    <w:rsid w:val="005667E8"/>
    <w:rsid w:val="00566E3F"/>
    <w:rsid w:val="005671A9"/>
    <w:rsid w:val="00570561"/>
    <w:rsid w:val="00570703"/>
    <w:rsid w:val="00570823"/>
    <w:rsid w:val="005708D0"/>
    <w:rsid w:val="00570B89"/>
    <w:rsid w:val="005712CA"/>
    <w:rsid w:val="00571B3F"/>
    <w:rsid w:val="00572A4E"/>
    <w:rsid w:val="00572D3F"/>
    <w:rsid w:val="00573E2A"/>
    <w:rsid w:val="00573E3A"/>
    <w:rsid w:val="00575845"/>
    <w:rsid w:val="00575EFE"/>
    <w:rsid w:val="005764F3"/>
    <w:rsid w:val="0057657E"/>
    <w:rsid w:val="005769E3"/>
    <w:rsid w:val="00576D27"/>
    <w:rsid w:val="00576EF0"/>
    <w:rsid w:val="00577021"/>
    <w:rsid w:val="00580F8E"/>
    <w:rsid w:val="00581EE8"/>
    <w:rsid w:val="005828E8"/>
    <w:rsid w:val="005834E2"/>
    <w:rsid w:val="00583B54"/>
    <w:rsid w:val="00583E0A"/>
    <w:rsid w:val="00585346"/>
    <w:rsid w:val="005854CF"/>
    <w:rsid w:val="00585987"/>
    <w:rsid w:val="00586115"/>
    <w:rsid w:val="005861DA"/>
    <w:rsid w:val="00586D85"/>
    <w:rsid w:val="005873F8"/>
    <w:rsid w:val="00587734"/>
    <w:rsid w:val="00591325"/>
    <w:rsid w:val="005924DB"/>
    <w:rsid w:val="00592828"/>
    <w:rsid w:val="005935A7"/>
    <w:rsid w:val="005945BA"/>
    <w:rsid w:val="0059548E"/>
    <w:rsid w:val="005955D0"/>
    <w:rsid w:val="00596C50"/>
    <w:rsid w:val="00597932"/>
    <w:rsid w:val="00597A57"/>
    <w:rsid w:val="00597C97"/>
    <w:rsid w:val="005A07FA"/>
    <w:rsid w:val="005A0FD8"/>
    <w:rsid w:val="005A2309"/>
    <w:rsid w:val="005A2355"/>
    <w:rsid w:val="005A4B6F"/>
    <w:rsid w:val="005A60D6"/>
    <w:rsid w:val="005A6568"/>
    <w:rsid w:val="005A66B6"/>
    <w:rsid w:val="005A6CCA"/>
    <w:rsid w:val="005A6E10"/>
    <w:rsid w:val="005A7AE4"/>
    <w:rsid w:val="005A7B9F"/>
    <w:rsid w:val="005B098E"/>
    <w:rsid w:val="005B0C13"/>
    <w:rsid w:val="005B0CB9"/>
    <w:rsid w:val="005B2239"/>
    <w:rsid w:val="005B2971"/>
    <w:rsid w:val="005B35B9"/>
    <w:rsid w:val="005B45E4"/>
    <w:rsid w:val="005B4D4C"/>
    <w:rsid w:val="005B5D0F"/>
    <w:rsid w:val="005B64BB"/>
    <w:rsid w:val="005B64E3"/>
    <w:rsid w:val="005B6F98"/>
    <w:rsid w:val="005B729F"/>
    <w:rsid w:val="005C09B5"/>
    <w:rsid w:val="005C0B87"/>
    <w:rsid w:val="005C0BD7"/>
    <w:rsid w:val="005C11F9"/>
    <w:rsid w:val="005C1268"/>
    <w:rsid w:val="005C414D"/>
    <w:rsid w:val="005C583D"/>
    <w:rsid w:val="005C59FD"/>
    <w:rsid w:val="005C5F1B"/>
    <w:rsid w:val="005C6DDC"/>
    <w:rsid w:val="005C74E1"/>
    <w:rsid w:val="005C8954"/>
    <w:rsid w:val="005D1064"/>
    <w:rsid w:val="005D138C"/>
    <w:rsid w:val="005D147E"/>
    <w:rsid w:val="005D1701"/>
    <w:rsid w:val="005D18AD"/>
    <w:rsid w:val="005D23E0"/>
    <w:rsid w:val="005D23F9"/>
    <w:rsid w:val="005D3556"/>
    <w:rsid w:val="005D37B5"/>
    <w:rsid w:val="005D3959"/>
    <w:rsid w:val="005D3EEA"/>
    <w:rsid w:val="005D4DA6"/>
    <w:rsid w:val="005D5043"/>
    <w:rsid w:val="005D5F93"/>
    <w:rsid w:val="005D71DC"/>
    <w:rsid w:val="005E0631"/>
    <w:rsid w:val="005E09CE"/>
    <w:rsid w:val="005E0D95"/>
    <w:rsid w:val="005E20D9"/>
    <w:rsid w:val="005E2A38"/>
    <w:rsid w:val="005E2ACD"/>
    <w:rsid w:val="005E33FE"/>
    <w:rsid w:val="005E3599"/>
    <w:rsid w:val="005E6875"/>
    <w:rsid w:val="005E72A2"/>
    <w:rsid w:val="005E7EFC"/>
    <w:rsid w:val="005F011D"/>
    <w:rsid w:val="005F0F60"/>
    <w:rsid w:val="005F11B9"/>
    <w:rsid w:val="005F1692"/>
    <w:rsid w:val="005F16E2"/>
    <w:rsid w:val="005F1E37"/>
    <w:rsid w:val="005F34F3"/>
    <w:rsid w:val="005F3DDE"/>
    <w:rsid w:val="005F41E4"/>
    <w:rsid w:val="005F4EB6"/>
    <w:rsid w:val="005F54AD"/>
    <w:rsid w:val="005F63E0"/>
    <w:rsid w:val="005F6F2C"/>
    <w:rsid w:val="00600582"/>
    <w:rsid w:val="00601D5D"/>
    <w:rsid w:val="00603C99"/>
    <w:rsid w:val="00603F66"/>
    <w:rsid w:val="00604BAC"/>
    <w:rsid w:val="006058FC"/>
    <w:rsid w:val="00606116"/>
    <w:rsid w:val="00606795"/>
    <w:rsid w:val="006075AE"/>
    <w:rsid w:val="006079FF"/>
    <w:rsid w:val="00607B09"/>
    <w:rsid w:val="00610255"/>
    <w:rsid w:val="0061219F"/>
    <w:rsid w:val="00612450"/>
    <w:rsid w:val="006127DF"/>
    <w:rsid w:val="00612840"/>
    <w:rsid w:val="00612D0B"/>
    <w:rsid w:val="00612DEB"/>
    <w:rsid w:val="00612ED2"/>
    <w:rsid w:val="006134A5"/>
    <w:rsid w:val="00613645"/>
    <w:rsid w:val="00614A01"/>
    <w:rsid w:val="00615112"/>
    <w:rsid w:val="006166B4"/>
    <w:rsid w:val="00616DDE"/>
    <w:rsid w:val="00620E3D"/>
    <w:rsid w:val="00621639"/>
    <w:rsid w:val="006216FC"/>
    <w:rsid w:val="00621C0B"/>
    <w:rsid w:val="00621CBB"/>
    <w:rsid w:val="00623422"/>
    <w:rsid w:val="0062358B"/>
    <w:rsid w:val="00624272"/>
    <w:rsid w:val="00624C41"/>
    <w:rsid w:val="006260CC"/>
    <w:rsid w:val="0062622F"/>
    <w:rsid w:val="006263F1"/>
    <w:rsid w:val="0062660F"/>
    <w:rsid w:val="0063160E"/>
    <w:rsid w:val="0063360A"/>
    <w:rsid w:val="00634C5C"/>
    <w:rsid w:val="00634E44"/>
    <w:rsid w:val="00635E16"/>
    <w:rsid w:val="00635E9E"/>
    <w:rsid w:val="00637DCF"/>
    <w:rsid w:val="0064094C"/>
    <w:rsid w:val="006410C0"/>
    <w:rsid w:val="006415EC"/>
    <w:rsid w:val="006416E4"/>
    <w:rsid w:val="006417DB"/>
    <w:rsid w:val="006426E7"/>
    <w:rsid w:val="0064295D"/>
    <w:rsid w:val="00643AF8"/>
    <w:rsid w:val="00645D61"/>
    <w:rsid w:val="00645F15"/>
    <w:rsid w:val="0064685A"/>
    <w:rsid w:val="00646BAF"/>
    <w:rsid w:val="006474CD"/>
    <w:rsid w:val="006479B3"/>
    <w:rsid w:val="00652CBF"/>
    <w:rsid w:val="00652DF9"/>
    <w:rsid w:val="006538AF"/>
    <w:rsid w:val="00653B06"/>
    <w:rsid w:val="00653F64"/>
    <w:rsid w:val="00654807"/>
    <w:rsid w:val="00655767"/>
    <w:rsid w:val="006561FF"/>
    <w:rsid w:val="006564C4"/>
    <w:rsid w:val="00656BB2"/>
    <w:rsid w:val="006573FF"/>
    <w:rsid w:val="00660375"/>
    <w:rsid w:val="0066145E"/>
    <w:rsid w:val="00662F65"/>
    <w:rsid w:val="00662FD6"/>
    <w:rsid w:val="00663AB2"/>
    <w:rsid w:val="00663B60"/>
    <w:rsid w:val="00663C39"/>
    <w:rsid w:val="0066401F"/>
    <w:rsid w:val="00664C0E"/>
    <w:rsid w:val="00666136"/>
    <w:rsid w:val="00666C80"/>
    <w:rsid w:val="0067088C"/>
    <w:rsid w:val="00670C6C"/>
    <w:rsid w:val="00672D8A"/>
    <w:rsid w:val="00672F71"/>
    <w:rsid w:val="00673047"/>
    <w:rsid w:val="0067438D"/>
    <w:rsid w:val="0067551D"/>
    <w:rsid w:val="00676436"/>
    <w:rsid w:val="0067673C"/>
    <w:rsid w:val="006778A9"/>
    <w:rsid w:val="00677F19"/>
    <w:rsid w:val="00680919"/>
    <w:rsid w:val="00680ACA"/>
    <w:rsid w:val="006812F0"/>
    <w:rsid w:val="00681971"/>
    <w:rsid w:val="00682D26"/>
    <w:rsid w:val="0068393D"/>
    <w:rsid w:val="00683E5E"/>
    <w:rsid w:val="006857E3"/>
    <w:rsid w:val="00687493"/>
    <w:rsid w:val="0068D193"/>
    <w:rsid w:val="00690111"/>
    <w:rsid w:val="00690A1D"/>
    <w:rsid w:val="00691885"/>
    <w:rsid w:val="00691FD7"/>
    <w:rsid w:val="00692CB3"/>
    <w:rsid w:val="00692F2E"/>
    <w:rsid w:val="00693A1A"/>
    <w:rsid w:val="00693C11"/>
    <w:rsid w:val="00694377"/>
    <w:rsid w:val="00694F11"/>
    <w:rsid w:val="006951ED"/>
    <w:rsid w:val="006965A7"/>
    <w:rsid w:val="00697ACF"/>
    <w:rsid w:val="00697CA5"/>
    <w:rsid w:val="00697D52"/>
    <w:rsid w:val="006A0FE8"/>
    <w:rsid w:val="006A1532"/>
    <w:rsid w:val="006A1821"/>
    <w:rsid w:val="006A3639"/>
    <w:rsid w:val="006A4440"/>
    <w:rsid w:val="006A5316"/>
    <w:rsid w:val="006A5909"/>
    <w:rsid w:val="006A5DFC"/>
    <w:rsid w:val="006A60FB"/>
    <w:rsid w:val="006A7F0B"/>
    <w:rsid w:val="006B0560"/>
    <w:rsid w:val="006B1A79"/>
    <w:rsid w:val="006B2079"/>
    <w:rsid w:val="006B2331"/>
    <w:rsid w:val="006B361F"/>
    <w:rsid w:val="006B3803"/>
    <w:rsid w:val="006B7E98"/>
    <w:rsid w:val="006C02CA"/>
    <w:rsid w:val="006C1E2F"/>
    <w:rsid w:val="006C23FF"/>
    <w:rsid w:val="006C2471"/>
    <w:rsid w:val="006C24F8"/>
    <w:rsid w:val="006C29B5"/>
    <w:rsid w:val="006C2AAF"/>
    <w:rsid w:val="006C2C30"/>
    <w:rsid w:val="006C37B0"/>
    <w:rsid w:val="006C410C"/>
    <w:rsid w:val="006C5988"/>
    <w:rsid w:val="006C71DD"/>
    <w:rsid w:val="006C7A88"/>
    <w:rsid w:val="006C8E22"/>
    <w:rsid w:val="006D0FFA"/>
    <w:rsid w:val="006D25F9"/>
    <w:rsid w:val="006D2841"/>
    <w:rsid w:val="006D4038"/>
    <w:rsid w:val="006D450A"/>
    <w:rsid w:val="006D4900"/>
    <w:rsid w:val="006D4AFB"/>
    <w:rsid w:val="006D502C"/>
    <w:rsid w:val="006D5888"/>
    <w:rsid w:val="006D79E5"/>
    <w:rsid w:val="006D7E54"/>
    <w:rsid w:val="006D7ED3"/>
    <w:rsid w:val="006D7F44"/>
    <w:rsid w:val="006E316B"/>
    <w:rsid w:val="006E340F"/>
    <w:rsid w:val="006E3DEF"/>
    <w:rsid w:val="006E4D5A"/>
    <w:rsid w:val="006E6900"/>
    <w:rsid w:val="006E69E9"/>
    <w:rsid w:val="006EC73C"/>
    <w:rsid w:val="006F1326"/>
    <w:rsid w:val="006F1489"/>
    <w:rsid w:val="006F182E"/>
    <w:rsid w:val="006F2C14"/>
    <w:rsid w:val="006F43EA"/>
    <w:rsid w:val="006F49BB"/>
    <w:rsid w:val="006F4CFB"/>
    <w:rsid w:val="006F70EB"/>
    <w:rsid w:val="006F73F9"/>
    <w:rsid w:val="006F77FA"/>
    <w:rsid w:val="006F7D92"/>
    <w:rsid w:val="0070029D"/>
    <w:rsid w:val="00700E6D"/>
    <w:rsid w:val="00701409"/>
    <w:rsid w:val="0070273F"/>
    <w:rsid w:val="0070382C"/>
    <w:rsid w:val="00704055"/>
    <w:rsid w:val="00704563"/>
    <w:rsid w:val="007059DB"/>
    <w:rsid w:val="00705D64"/>
    <w:rsid w:val="00706CAA"/>
    <w:rsid w:val="00707551"/>
    <w:rsid w:val="00707C41"/>
    <w:rsid w:val="0071068A"/>
    <w:rsid w:val="00710921"/>
    <w:rsid w:val="00712417"/>
    <w:rsid w:val="00712492"/>
    <w:rsid w:val="007127A7"/>
    <w:rsid w:val="0071761E"/>
    <w:rsid w:val="00720DA8"/>
    <w:rsid w:val="00720F4C"/>
    <w:rsid w:val="0072189E"/>
    <w:rsid w:val="00724D95"/>
    <w:rsid w:val="00724FB0"/>
    <w:rsid w:val="00725808"/>
    <w:rsid w:val="00725B8B"/>
    <w:rsid w:val="00726079"/>
    <w:rsid w:val="007260AD"/>
    <w:rsid w:val="00727BE1"/>
    <w:rsid w:val="0073066C"/>
    <w:rsid w:val="007322EC"/>
    <w:rsid w:val="00732FC6"/>
    <w:rsid w:val="00733841"/>
    <w:rsid w:val="00733D27"/>
    <w:rsid w:val="00734080"/>
    <w:rsid w:val="00734CA0"/>
    <w:rsid w:val="0073581B"/>
    <w:rsid w:val="00740A4E"/>
    <w:rsid w:val="00740D5E"/>
    <w:rsid w:val="00740E8A"/>
    <w:rsid w:val="0074330D"/>
    <w:rsid w:val="00744A71"/>
    <w:rsid w:val="007457AD"/>
    <w:rsid w:val="007469CD"/>
    <w:rsid w:val="00746B1F"/>
    <w:rsid w:val="007503CF"/>
    <w:rsid w:val="007510C0"/>
    <w:rsid w:val="007516DD"/>
    <w:rsid w:val="0075359C"/>
    <w:rsid w:val="00753FDE"/>
    <w:rsid w:val="007557CE"/>
    <w:rsid w:val="00755E04"/>
    <w:rsid w:val="0075697B"/>
    <w:rsid w:val="00757187"/>
    <w:rsid w:val="0075735B"/>
    <w:rsid w:val="00757C54"/>
    <w:rsid w:val="00757F99"/>
    <w:rsid w:val="0075BCAF"/>
    <w:rsid w:val="00761117"/>
    <w:rsid w:val="00761394"/>
    <w:rsid w:val="00762584"/>
    <w:rsid w:val="007640FB"/>
    <w:rsid w:val="00764946"/>
    <w:rsid w:val="00767B5C"/>
    <w:rsid w:val="007707C4"/>
    <w:rsid w:val="00770AE2"/>
    <w:rsid w:val="00770D4D"/>
    <w:rsid w:val="00771418"/>
    <w:rsid w:val="00771CBC"/>
    <w:rsid w:val="00774EB0"/>
    <w:rsid w:val="0077526D"/>
    <w:rsid w:val="007752B1"/>
    <w:rsid w:val="00776637"/>
    <w:rsid w:val="00780C8A"/>
    <w:rsid w:val="007810A3"/>
    <w:rsid w:val="00781103"/>
    <w:rsid w:val="00781C92"/>
    <w:rsid w:val="00782DC1"/>
    <w:rsid w:val="00782E7A"/>
    <w:rsid w:val="0078460C"/>
    <w:rsid w:val="0078477B"/>
    <w:rsid w:val="00785647"/>
    <w:rsid w:val="00786412"/>
    <w:rsid w:val="0078684D"/>
    <w:rsid w:val="007871EC"/>
    <w:rsid w:val="00787268"/>
    <w:rsid w:val="0078774F"/>
    <w:rsid w:val="0079030B"/>
    <w:rsid w:val="00791465"/>
    <w:rsid w:val="00791F88"/>
    <w:rsid w:val="00792890"/>
    <w:rsid w:val="00793143"/>
    <w:rsid w:val="00797269"/>
    <w:rsid w:val="00797C3A"/>
    <w:rsid w:val="007A2086"/>
    <w:rsid w:val="007A240C"/>
    <w:rsid w:val="007A2964"/>
    <w:rsid w:val="007A53A7"/>
    <w:rsid w:val="007A5647"/>
    <w:rsid w:val="007A6B2D"/>
    <w:rsid w:val="007A6EE0"/>
    <w:rsid w:val="007A7403"/>
    <w:rsid w:val="007A75C0"/>
    <w:rsid w:val="007B01D5"/>
    <w:rsid w:val="007B1BB9"/>
    <w:rsid w:val="007B2C74"/>
    <w:rsid w:val="007B32CC"/>
    <w:rsid w:val="007B38B9"/>
    <w:rsid w:val="007B6BF2"/>
    <w:rsid w:val="007B7781"/>
    <w:rsid w:val="007B79DC"/>
    <w:rsid w:val="007B7B2D"/>
    <w:rsid w:val="007C0AD1"/>
    <w:rsid w:val="007C0DFE"/>
    <w:rsid w:val="007C2569"/>
    <w:rsid w:val="007C2FDE"/>
    <w:rsid w:val="007C4B6F"/>
    <w:rsid w:val="007C7165"/>
    <w:rsid w:val="007C7DEB"/>
    <w:rsid w:val="007C9378"/>
    <w:rsid w:val="007D01CE"/>
    <w:rsid w:val="007D05CD"/>
    <w:rsid w:val="007D0B27"/>
    <w:rsid w:val="007D1066"/>
    <w:rsid w:val="007D20F2"/>
    <w:rsid w:val="007D2F9B"/>
    <w:rsid w:val="007D369B"/>
    <w:rsid w:val="007D54ED"/>
    <w:rsid w:val="007D55F4"/>
    <w:rsid w:val="007D6D0B"/>
    <w:rsid w:val="007E0038"/>
    <w:rsid w:val="007E0F35"/>
    <w:rsid w:val="007E1A25"/>
    <w:rsid w:val="007E2603"/>
    <w:rsid w:val="007E288D"/>
    <w:rsid w:val="007E2F7D"/>
    <w:rsid w:val="007E4144"/>
    <w:rsid w:val="007E4E34"/>
    <w:rsid w:val="007E5DE9"/>
    <w:rsid w:val="007E628C"/>
    <w:rsid w:val="007F06C5"/>
    <w:rsid w:val="007F1094"/>
    <w:rsid w:val="007F145A"/>
    <w:rsid w:val="007F1661"/>
    <w:rsid w:val="007F259F"/>
    <w:rsid w:val="007F3012"/>
    <w:rsid w:val="007F3623"/>
    <w:rsid w:val="007F3E7B"/>
    <w:rsid w:val="007F5224"/>
    <w:rsid w:val="007F63CD"/>
    <w:rsid w:val="007F64B6"/>
    <w:rsid w:val="007F6F59"/>
    <w:rsid w:val="0080090F"/>
    <w:rsid w:val="00801D60"/>
    <w:rsid w:val="0080290A"/>
    <w:rsid w:val="008040FD"/>
    <w:rsid w:val="0080429C"/>
    <w:rsid w:val="0080573C"/>
    <w:rsid w:val="008110CD"/>
    <w:rsid w:val="008137B6"/>
    <w:rsid w:val="008139F1"/>
    <w:rsid w:val="00816DFC"/>
    <w:rsid w:val="008207AB"/>
    <w:rsid w:val="0082097B"/>
    <w:rsid w:val="008218B6"/>
    <w:rsid w:val="00822008"/>
    <w:rsid w:val="00822DFB"/>
    <w:rsid w:val="00822F6F"/>
    <w:rsid w:val="00822FC0"/>
    <w:rsid w:val="00824A40"/>
    <w:rsid w:val="008266C7"/>
    <w:rsid w:val="00826C0C"/>
    <w:rsid w:val="00826CBB"/>
    <w:rsid w:val="00827449"/>
    <w:rsid w:val="00827A2C"/>
    <w:rsid w:val="00830863"/>
    <w:rsid w:val="0083104B"/>
    <w:rsid w:val="008316ED"/>
    <w:rsid w:val="00831915"/>
    <w:rsid w:val="00831D5A"/>
    <w:rsid w:val="008323CA"/>
    <w:rsid w:val="008345AF"/>
    <w:rsid w:val="0083464A"/>
    <w:rsid w:val="00835685"/>
    <w:rsid w:val="00837158"/>
    <w:rsid w:val="00837505"/>
    <w:rsid w:val="0083780F"/>
    <w:rsid w:val="00840917"/>
    <w:rsid w:val="00841D7E"/>
    <w:rsid w:val="0084337C"/>
    <w:rsid w:val="008437F0"/>
    <w:rsid w:val="00844E1A"/>
    <w:rsid w:val="008464BD"/>
    <w:rsid w:val="00846B6E"/>
    <w:rsid w:val="00847195"/>
    <w:rsid w:val="008475B2"/>
    <w:rsid w:val="0085253A"/>
    <w:rsid w:val="0085255B"/>
    <w:rsid w:val="008540E0"/>
    <w:rsid w:val="008565FF"/>
    <w:rsid w:val="00856987"/>
    <w:rsid w:val="00856A5E"/>
    <w:rsid w:val="00860168"/>
    <w:rsid w:val="008609FD"/>
    <w:rsid w:val="0086179F"/>
    <w:rsid w:val="008639E9"/>
    <w:rsid w:val="00863E87"/>
    <w:rsid w:val="00864E8C"/>
    <w:rsid w:val="00865F09"/>
    <w:rsid w:val="008671E8"/>
    <w:rsid w:val="00867982"/>
    <w:rsid w:val="00867EDE"/>
    <w:rsid w:val="00871B54"/>
    <w:rsid w:val="00871CFE"/>
    <w:rsid w:val="00873986"/>
    <w:rsid w:val="008739AA"/>
    <w:rsid w:val="0087521D"/>
    <w:rsid w:val="00875B04"/>
    <w:rsid w:val="00875BF5"/>
    <w:rsid w:val="00876F94"/>
    <w:rsid w:val="00877C12"/>
    <w:rsid w:val="00881251"/>
    <w:rsid w:val="00881844"/>
    <w:rsid w:val="00882502"/>
    <w:rsid w:val="00882683"/>
    <w:rsid w:val="00882E10"/>
    <w:rsid w:val="0088361A"/>
    <w:rsid w:val="0088365C"/>
    <w:rsid w:val="00884103"/>
    <w:rsid w:val="0088504B"/>
    <w:rsid w:val="00885878"/>
    <w:rsid w:val="00886C53"/>
    <w:rsid w:val="00887AAB"/>
    <w:rsid w:val="00890604"/>
    <w:rsid w:val="0089071C"/>
    <w:rsid w:val="00890DFC"/>
    <w:rsid w:val="0089177E"/>
    <w:rsid w:val="008917CB"/>
    <w:rsid w:val="00891EDF"/>
    <w:rsid w:val="00892DD4"/>
    <w:rsid w:val="00892E52"/>
    <w:rsid w:val="00896247"/>
    <w:rsid w:val="00897523"/>
    <w:rsid w:val="00897A49"/>
    <w:rsid w:val="008A0C3A"/>
    <w:rsid w:val="008A0EC0"/>
    <w:rsid w:val="008A1057"/>
    <w:rsid w:val="008A1E28"/>
    <w:rsid w:val="008A26DC"/>
    <w:rsid w:val="008A4F39"/>
    <w:rsid w:val="008A5738"/>
    <w:rsid w:val="008A7611"/>
    <w:rsid w:val="008A7BBB"/>
    <w:rsid w:val="008B079A"/>
    <w:rsid w:val="008B2489"/>
    <w:rsid w:val="008B661D"/>
    <w:rsid w:val="008B7A93"/>
    <w:rsid w:val="008C09B7"/>
    <w:rsid w:val="008C0EF2"/>
    <w:rsid w:val="008C2C21"/>
    <w:rsid w:val="008C2E39"/>
    <w:rsid w:val="008C5787"/>
    <w:rsid w:val="008C58D4"/>
    <w:rsid w:val="008C6C49"/>
    <w:rsid w:val="008C7A1C"/>
    <w:rsid w:val="008D0B0B"/>
    <w:rsid w:val="008D4280"/>
    <w:rsid w:val="008D48EE"/>
    <w:rsid w:val="008D5642"/>
    <w:rsid w:val="008D589B"/>
    <w:rsid w:val="008D5CA1"/>
    <w:rsid w:val="008D6101"/>
    <w:rsid w:val="008D73A2"/>
    <w:rsid w:val="008D74A5"/>
    <w:rsid w:val="008D79E9"/>
    <w:rsid w:val="008E069F"/>
    <w:rsid w:val="008E2A85"/>
    <w:rsid w:val="008E2C0F"/>
    <w:rsid w:val="008E31AB"/>
    <w:rsid w:val="008E3389"/>
    <w:rsid w:val="008E4055"/>
    <w:rsid w:val="008E563C"/>
    <w:rsid w:val="008E6254"/>
    <w:rsid w:val="008E6F59"/>
    <w:rsid w:val="008E788D"/>
    <w:rsid w:val="008F0025"/>
    <w:rsid w:val="008F02C4"/>
    <w:rsid w:val="008F04DC"/>
    <w:rsid w:val="008F32E9"/>
    <w:rsid w:val="008F3652"/>
    <w:rsid w:val="008F4FA9"/>
    <w:rsid w:val="008F6098"/>
    <w:rsid w:val="008F67C1"/>
    <w:rsid w:val="008F6F6F"/>
    <w:rsid w:val="008F707E"/>
    <w:rsid w:val="009006FE"/>
    <w:rsid w:val="009008BE"/>
    <w:rsid w:val="00900B1D"/>
    <w:rsid w:val="0090169D"/>
    <w:rsid w:val="00901770"/>
    <w:rsid w:val="00901774"/>
    <w:rsid w:val="009028EA"/>
    <w:rsid w:val="00902B89"/>
    <w:rsid w:val="00902FC3"/>
    <w:rsid w:val="00903B1A"/>
    <w:rsid w:val="009040F0"/>
    <w:rsid w:val="009047F1"/>
    <w:rsid w:val="0090535C"/>
    <w:rsid w:val="00906467"/>
    <w:rsid w:val="00906D3E"/>
    <w:rsid w:val="00906E40"/>
    <w:rsid w:val="009079A6"/>
    <w:rsid w:val="009106F5"/>
    <w:rsid w:val="00912838"/>
    <w:rsid w:val="009144B7"/>
    <w:rsid w:val="009169E0"/>
    <w:rsid w:val="00916F4D"/>
    <w:rsid w:val="009210A4"/>
    <w:rsid w:val="00921437"/>
    <w:rsid w:val="0092208E"/>
    <w:rsid w:val="00922877"/>
    <w:rsid w:val="00923120"/>
    <w:rsid w:val="0092387B"/>
    <w:rsid w:val="00924689"/>
    <w:rsid w:val="00924A98"/>
    <w:rsid w:val="00924F55"/>
    <w:rsid w:val="00927269"/>
    <w:rsid w:val="009278D7"/>
    <w:rsid w:val="00927B1F"/>
    <w:rsid w:val="00927D08"/>
    <w:rsid w:val="00927D44"/>
    <w:rsid w:val="00930009"/>
    <w:rsid w:val="00931C85"/>
    <w:rsid w:val="0093203B"/>
    <w:rsid w:val="00933B2B"/>
    <w:rsid w:val="00933FFB"/>
    <w:rsid w:val="00936B11"/>
    <w:rsid w:val="00937DAE"/>
    <w:rsid w:val="00937EBA"/>
    <w:rsid w:val="009409F0"/>
    <w:rsid w:val="0094162D"/>
    <w:rsid w:val="00941B8C"/>
    <w:rsid w:val="00941E58"/>
    <w:rsid w:val="00942104"/>
    <w:rsid w:val="009429D2"/>
    <w:rsid w:val="00943278"/>
    <w:rsid w:val="00944782"/>
    <w:rsid w:val="00944EE0"/>
    <w:rsid w:val="0094562B"/>
    <w:rsid w:val="009457E7"/>
    <w:rsid w:val="0094591A"/>
    <w:rsid w:val="009461DE"/>
    <w:rsid w:val="00946D27"/>
    <w:rsid w:val="00947AA1"/>
    <w:rsid w:val="00950640"/>
    <w:rsid w:val="009509A4"/>
    <w:rsid w:val="00950D57"/>
    <w:rsid w:val="00952785"/>
    <w:rsid w:val="009527F6"/>
    <w:rsid w:val="00952D60"/>
    <w:rsid w:val="00954D8A"/>
    <w:rsid w:val="00956436"/>
    <w:rsid w:val="00956ADA"/>
    <w:rsid w:val="00957ABD"/>
    <w:rsid w:val="00957EF7"/>
    <w:rsid w:val="009606CA"/>
    <w:rsid w:val="009615AA"/>
    <w:rsid w:val="00961675"/>
    <w:rsid w:val="009617DE"/>
    <w:rsid w:val="00961E2B"/>
    <w:rsid w:val="009623DE"/>
    <w:rsid w:val="0096389B"/>
    <w:rsid w:val="0096428C"/>
    <w:rsid w:val="009653F3"/>
    <w:rsid w:val="00965D88"/>
    <w:rsid w:val="00965F35"/>
    <w:rsid w:val="00966AAE"/>
    <w:rsid w:val="00966CDE"/>
    <w:rsid w:val="009676C1"/>
    <w:rsid w:val="00970807"/>
    <w:rsid w:val="00972779"/>
    <w:rsid w:val="009741E3"/>
    <w:rsid w:val="0097499D"/>
    <w:rsid w:val="00976062"/>
    <w:rsid w:val="00976CE6"/>
    <w:rsid w:val="0097704B"/>
    <w:rsid w:val="0097706A"/>
    <w:rsid w:val="00980971"/>
    <w:rsid w:val="00982909"/>
    <w:rsid w:val="009829EE"/>
    <w:rsid w:val="00983085"/>
    <w:rsid w:val="009835D0"/>
    <w:rsid w:val="00983837"/>
    <w:rsid w:val="00983D83"/>
    <w:rsid w:val="009852A2"/>
    <w:rsid w:val="00985C7F"/>
    <w:rsid w:val="0098646B"/>
    <w:rsid w:val="009868AC"/>
    <w:rsid w:val="0099062F"/>
    <w:rsid w:val="0099089D"/>
    <w:rsid w:val="00991F83"/>
    <w:rsid w:val="009920A8"/>
    <w:rsid w:val="00994C67"/>
    <w:rsid w:val="009959D0"/>
    <w:rsid w:val="00995A3D"/>
    <w:rsid w:val="0099670C"/>
    <w:rsid w:val="00997027"/>
    <w:rsid w:val="00997686"/>
    <w:rsid w:val="00997BC0"/>
    <w:rsid w:val="0099EEC7"/>
    <w:rsid w:val="009A04DE"/>
    <w:rsid w:val="009A0F74"/>
    <w:rsid w:val="009A1679"/>
    <w:rsid w:val="009A1744"/>
    <w:rsid w:val="009A21B4"/>
    <w:rsid w:val="009A2549"/>
    <w:rsid w:val="009A31B5"/>
    <w:rsid w:val="009A3869"/>
    <w:rsid w:val="009A436E"/>
    <w:rsid w:val="009A4473"/>
    <w:rsid w:val="009A5731"/>
    <w:rsid w:val="009A738A"/>
    <w:rsid w:val="009A7688"/>
    <w:rsid w:val="009A784F"/>
    <w:rsid w:val="009B139E"/>
    <w:rsid w:val="009B1AE5"/>
    <w:rsid w:val="009B43E8"/>
    <w:rsid w:val="009B496E"/>
    <w:rsid w:val="009B49B2"/>
    <w:rsid w:val="009B5228"/>
    <w:rsid w:val="009B5D2E"/>
    <w:rsid w:val="009B6A9D"/>
    <w:rsid w:val="009B74C3"/>
    <w:rsid w:val="009C2BB6"/>
    <w:rsid w:val="009C4DAC"/>
    <w:rsid w:val="009D01FF"/>
    <w:rsid w:val="009D13BC"/>
    <w:rsid w:val="009D1863"/>
    <w:rsid w:val="009D1A1A"/>
    <w:rsid w:val="009D1A25"/>
    <w:rsid w:val="009D1E3A"/>
    <w:rsid w:val="009D1FD7"/>
    <w:rsid w:val="009D2110"/>
    <w:rsid w:val="009D29D1"/>
    <w:rsid w:val="009D40B6"/>
    <w:rsid w:val="009D4AA3"/>
    <w:rsid w:val="009D4F16"/>
    <w:rsid w:val="009D5389"/>
    <w:rsid w:val="009D5874"/>
    <w:rsid w:val="009D6357"/>
    <w:rsid w:val="009D650E"/>
    <w:rsid w:val="009D68D8"/>
    <w:rsid w:val="009D7314"/>
    <w:rsid w:val="009D73D6"/>
    <w:rsid w:val="009E0741"/>
    <w:rsid w:val="009E173F"/>
    <w:rsid w:val="009E286B"/>
    <w:rsid w:val="009E2CE4"/>
    <w:rsid w:val="009E43B3"/>
    <w:rsid w:val="009E45E2"/>
    <w:rsid w:val="009E476C"/>
    <w:rsid w:val="009E52F5"/>
    <w:rsid w:val="009E6515"/>
    <w:rsid w:val="009E683F"/>
    <w:rsid w:val="009E6FF2"/>
    <w:rsid w:val="009F0F2E"/>
    <w:rsid w:val="009F1F65"/>
    <w:rsid w:val="009F27C6"/>
    <w:rsid w:val="009F40E3"/>
    <w:rsid w:val="009F4A54"/>
    <w:rsid w:val="009F5730"/>
    <w:rsid w:val="009F699C"/>
    <w:rsid w:val="009F732B"/>
    <w:rsid w:val="00A008B1"/>
    <w:rsid w:val="00A01093"/>
    <w:rsid w:val="00A01D01"/>
    <w:rsid w:val="00A02414"/>
    <w:rsid w:val="00A02A89"/>
    <w:rsid w:val="00A03DF7"/>
    <w:rsid w:val="00A03F18"/>
    <w:rsid w:val="00A0402C"/>
    <w:rsid w:val="00A053BB"/>
    <w:rsid w:val="00A05874"/>
    <w:rsid w:val="00A1013B"/>
    <w:rsid w:val="00A1048D"/>
    <w:rsid w:val="00A10B86"/>
    <w:rsid w:val="00A11E52"/>
    <w:rsid w:val="00A1217F"/>
    <w:rsid w:val="00A136B7"/>
    <w:rsid w:val="00A16881"/>
    <w:rsid w:val="00A16C39"/>
    <w:rsid w:val="00A16F5D"/>
    <w:rsid w:val="00A20665"/>
    <w:rsid w:val="00A214EF"/>
    <w:rsid w:val="00A21EB3"/>
    <w:rsid w:val="00A21F97"/>
    <w:rsid w:val="00A224B3"/>
    <w:rsid w:val="00A23E86"/>
    <w:rsid w:val="00A258CB"/>
    <w:rsid w:val="00A25FC3"/>
    <w:rsid w:val="00A263CC"/>
    <w:rsid w:val="00A267C0"/>
    <w:rsid w:val="00A26BAB"/>
    <w:rsid w:val="00A26E2F"/>
    <w:rsid w:val="00A27E15"/>
    <w:rsid w:val="00A27F3A"/>
    <w:rsid w:val="00A3015B"/>
    <w:rsid w:val="00A30544"/>
    <w:rsid w:val="00A30892"/>
    <w:rsid w:val="00A322F7"/>
    <w:rsid w:val="00A32AA9"/>
    <w:rsid w:val="00A33F7C"/>
    <w:rsid w:val="00A35707"/>
    <w:rsid w:val="00A35F33"/>
    <w:rsid w:val="00A3650D"/>
    <w:rsid w:val="00A36ECA"/>
    <w:rsid w:val="00A3749F"/>
    <w:rsid w:val="00A37D4D"/>
    <w:rsid w:val="00A37F30"/>
    <w:rsid w:val="00A4004A"/>
    <w:rsid w:val="00A40FCD"/>
    <w:rsid w:val="00A413EC"/>
    <w:rsid w:val="00A414D1"/>
    <w:rsid w:val="00A42109"/>
    <w:rsid w:val="00A42A85"/>
    <w:rsid w:val="00A448E5"/>
    <w:rsid w:val="00A44CCE"/>
    <w:rsid w:val="00A458BD"/>
    <w:rsid w:val="00A46002"/>
    <w:rsid w:val="00A46B67"/>
    <w:rsid w:val="00A50071"/>
    <w:rsid w:val="00A50225"/>
    <w:rsid w:val="00A52236"/>
    <w:rsid w:val="00A523F5"/>
    <w:rsid w:val="00A525D7"/>
    <w:rsid w:val="00A5345E"/>
    <w:rsid w:val="00A5380B"/>
    <w:rsid w:val="00A54C25"/>
    <w:rsid w:val="00A576DE"/>
    <w:rsid w:val="00A5774C"/>
    <w:rsid w:val="00A6098B"/>
    <w:rsid w:val="00A60A6B"/>
    <w:rsid w:val="00A60DD5"/>
    <w:rsid w:val="00A6170F"/>
    <w:rsid w:val="00A61710"/>
    <w:rsid w:val="00A63BE7"/>
    <w:rsid w:val="00A64237"/>
    <w:rsid w:val="00A64465"/>
    <w:rsid w:val="00A644CB"/>
    <w:rsid w:val="00A6708B"/>
    <w:rsid w:val="00A67E9C"/>
    <w:rsid w:val="00A70DB9"/>
    <w:rsid w:val="00A72611"/>
    <w:rsid w:val="00A72DFE"/>
    <w:rsid w:val="00A72E31"/>
    <w:rsid w:val="00A73567"/>
    <w:rsid w:val="00A73D86"/>
    <w:rsid w:val="00A75C79"/>
    <w:rsid w:val="00A7764C"/>
    <w:rsid w:val="00A77F16"/>
    <w:rsid w:val="00A801B7"/>
    <w:rsid w:val="00A80977"/>
    <w:rsid w:val="00A80D42"/>
    <w:rsid w:val="00A8131E"/>
    <w:rsid w:val="00A82C38"/>
    <w:rsid w:val="00A83274"/>
    <w:rsid w:val="00A8327B"/>
    <w:rsid w:val="00A83368"/>
    <w:rsid w:val="00A835F1"/>
    <w:rsid w:val="00A83756"/>
    <w:rsid w:val="00A83BD9"/>
    <w:rsid w:val="00A83FB6"/>
    <w:rsid w:val="00A84A93"/>
    <w:rsid w:val="00A85671"/>
    <w:rsid w:val="00A8589D"/>
    <w:rsid w:val="00A86CFD"/>
    <w:rsid w:val="00A871ED"/>
    <w:rsid w:val="00A876B9"/>
    <w:rsid w:val="00A9033D"/>
    <w:rsid w:val="00A912FE"/>
    <w:rsid w:val="00A91516"/>
    <w:rsid w:val="00A92267"/>
    <w:rsid w:val="00A9279D"/>
    <w:rsid w:val="00A92C7A"/>
    <w:rsid w:val="00A94AC5"/>
    <w:rsid w:val="00A94B27"/>
    <w:rsid w:val="00A9511A"/>
    <w:rsid w:val="00A9564E"/>
    <w:rsid w:val="00A95AFD"/>
    <w:rsid w:val="00A95D70"/>
    <w:rsid w:val="00A96ED0"/>
    <w:rsid w:val="00A97189"/>
    <w:rsid w:val="00A97327"/>
    <w:rsid w:val="00A97AB7"/>
    <w:rsid w:val="00AA045C"/>
    <w:rsid w:val="00AA0D08"/>
    <w:rsid w:val="00AA1615"/>
    <w:rsid w:val="00AA2381"/>
    <w:rsid w:val="00AA39CF"/>
    <w:rsid w:val="00AA4FD5"/>
    <w:rsid w:val="00AA51DF"/>
    <w:rsid w:val="00AA544A"/>
    <w:rsid w:val="00AA54BB"/>
    <w:rsid w:val="00AA5C3F"/>
    <w:rsid w:val="00AA7459"/>
    <w:rsid w:val="00AA76E7"/>
    <w:rsid w:val="00AA77B4"/>
    <w:rsid w:val="00AB1F3F"/>
    <w:rsid w:val="00AB2259"/>
    <w:rsid w:val="00AB36DA"/>
    <w:rsid w:val="00AB57D5"/>
    <w:rsid w:val="00AB5D8A"/>
    <w:rsid w:val="00AB635F"/>
    <w:rsid w:val="00AB7363"/>
    <w:rsid w:val="00AB7453"/>
    <w:rsid w:val="00AB7A04"/>
    <w:rsid w:val="00AC00A4"/>
    <w:rsid w:val="00AC0585"/>
    <w:rsid w:val="00AC0B0E"/>
    <w:rsid w:val="00AC15AA"/>
    <w:rsid w:val="00AC5AC5"/>
    <w:rsid w:val="00AC66B3"/>
    <w:rsid w:val="00AC6C68"/>
    <w:rsid w:val="00AD02EE"/>
    <w:rsid w:val="00AD030F"/>
    <w:rsid w:val="00AD036B"/>
    <w:rsid w:val="00AD11FA"/>
    <w:rsid w:val="00AD14A0"/>
    <w:rsid w:val="00AD21E9"/>
    <w:rsid w:val="00AD39C9"/>
    <w:rsid w:val="00AD3A39"/>
    <w:rsid w:val="00AD3CF1"/>
    <w:rsid w:val="00AD4D3F"/>
    <w:rsid w:val="00AD4FC7"/>
    <w:rsid w:val="00AD5BAA"/>
    <w:rsid w:val="00AE024C"/>
    <w:rsid w:val="00AE055E"/>
    <w:rsid w:val="00AE0963"/>
    <w:rsid w:val="00AE14EA"/>
    <w:rsid w:val="00AE22DB"/>
    <w:rsid w:val="00AE2700"/>
    <w:rsid w:val="00AE58A0"/>
    <w:rsid w:val="00AF0944"/>
    <w:rsid w:val="00AF13E3"/>
    <w:rsid w:val="00AF1723"/>
    <w:rsid w:val="00AF34CD"/>
    <w:rsid w:val="00AF4569"/>
    <w:rsid w:val="00AF4FA4"/>
    <w:rsid w:val="00AF557E"/>
    <w:rsid w:val="00AF5CA9"/>
    <w:rsid w:val="00AF706C"/>
    <w:rsid w:val="00B0060E"/>
    <w:rsid w:val="00B02326"/>
    <w:rsid w:val="00B02618"/>
    <w:rsid w:val="00B03DD8"/>
    <w:rsid w:val="00B05224"/>
    <w:rsid w:val="00B05322"/>
    <w:rsid w:val="00B0638C"/>
    <w:rsid w:val="00B12796"/>
    <w:rsid w:val="00B12B8F"/>
    <w:rsid w:val="00B12F4E"/>
    <w:rsid w:val="00B17D0E"/>
    <w:rsid w:val="00B17EAC"/>
    <w:rsid w:val="00B20306"/>
    <w:rsid w:val="00B2037B"/>
    <w:rsid w:val="00B20935"/>
    <w:rsid w:val="00B20C6B"/>
    <w:rsid w:val="00B20D49"/>
    <w:rsid w:val="00B2139E"/>
    <w:rsid w:val="00B21451"/>
    <w:rsid w:val="00B219EA"/>
    <w:rsid w:val="00B220CD"/>
    <w:rsid w:val="00B22644"/>
    <w:rsid w:val="00B22FF3"/>
    <w:rsid w:val="00B238E5"/>
    <w:rsid w:val="00B23D82"/>
    <w:rsid w:val="00B24137"/>
    <w:rsid w:val="00B24A29"/>
    <w:rsid w:val="00B24E45"/>
    <w:rsid w:val="00B26C9E"/>
    <w:rsid w:val="00B26FC9"/>
    <w:rsid w:val="00B271B6"/>
    <w:rsid w:val="00B27867"/>
    <w:rsid w:val="00B318A5"/>
    <w:rsid w:val="00B31DE5"/>
    <w:rsid w:val="00B328AC"/>
    <w:rsid w:val="00B34261"/>
    <w:rsid w:val="00B34922"/>
    <w:rsid w:val="00B34DC9"/>
    <w:rsid w:val="00B355BA"/>
    <w:rsid w:val="00B36657"/>
    <w:rsid w:val="00B37717"/>
    <w:rsid w:val="00B40525"/>
    <w:rsid w:val="00B40CBD"/>
    <w:rsid w:val="00B4170A"/>
    <w:rsid w:val="00B42398"/>
    <w:rsid w:val="00B43DFF"/>
    <w:rsid w:val="00B44CE2"/>
    <w:rsid w:val="00B50464"/>
    <w:rsid w:val="00B50FF9"/>
    <w:rsid w:val="00B52340"/>
    <w:rsid w:val="00B524BF"/>
    <w:rsid w:val="00B53B83"/>
    <w:rsid w:val="00B53D83"/>
    <w:rsid w:val="00B5565F"/>
    <w:rsid w:val="00B62454"/>
    <w:rsid w:val="00B62492"/>
    <w:rsid w:val="00B62649"/>
    <w:rsid w:val="00B62821"/>
    <w:rsid w:val="00B63BB6"/>
    <w:rsid w:val="00B63E27"/>
    <w:rsid w:val="00B641F4"/>
    <w:rsid w:val="00B649F8"/>
    <w:rsid w:val="00B65A48"/>
    <w:rsid w:val="00B65D15"/>
    <w:rsid w:val="00B663E9"/>
    <w:rsid w:val="00B6700E"/>
    <w:rsid w:val="00B6781F"/>
    <w:rsid w:val="00B67BEB"/>
    <w:rsid w:val="00B700C9"/>
    <w:rsid w:val="00B70C8A"/>
    <w:rsid w:val="00B712B1"/>
    <w:rsid w:val="00B7158C"/>
    <w:rsid w:val="00B71F23"/>
    <w:rsid w:val="00B724B6"/>
    <w:rsid w:val="00B7258C"/>
    <w:rsid w:val="00B72798"/>
    <w:rsid w:val="00B73519"/>
    <w:rsid w:val="00B74AA6"/>
    <w:rsid w:val="00B74C99"/>
    <w:rsid w:val="00B74E3A"/>
    <w:rsid w:val="00B75240"/>
    <w:rsid w:val="00B77B5E"/>
    <w:rsid w:val="00B80368"/>
    <w:rsid w:val="00B81519"/>
    <w:rsid w:val="00B8185E"/>
    <w:rsid w:val="00B81C32"/>
    <w:rsid w:val="00B81DB0"/>
    <w:rsid w:val="00B8209B"/>
    <w:rsid w:val="00B8230E"/>
    <w:rsid w:val="00B829D4"/>
    <w:rsid w:val="00B86293"/>
    <w:rsid w:val="00B86597"/>
    <w:rsid w:val="00B87494"/>
    <w:rsid w:val="00B8771D"/>
    <w:rsid w:val="00B920C4"/>
    <w:rsid w:val="00B92790"/>
    <w:rsid w:val="00B92823"/>
    <w:rsid w:val="00B93C26"/>
    <w:rsid w:val="00B944B3"/>
    <w:rsid w:val="00B95D6F"/>
    <w:rsid w:val="00B96A0D"/>
    <w:rsid w:val="00B97AD7"/>
    <w:rsid w:val="00B97E23"/>
    <w:rsid w:val="00BA3E4D"/>
    <w:rsid w:val="00BA4B73"/>
    <w:rsid w:val="00BA518C"/>
    <w:rsid w:val="00BA518D"/>
    <w:rsid w:val="00BA5438"/>
    <w:rsid w:val="00BA574F"/>
    <w:rsid w:val="00BA5A91"/>
    <w:rsid w:val="00BA62E4"/>
    <w:rsid w:val="00BA68B0"/>
    <w:rsid w:val="00BA6A9F"/>
    <w:rsid w:val="00BB06CF"/>
    <w:rsid w:val="00BB13E4"/>
    <w:rsid w:val="00BB30AD"/>
    <w:rsid w:val="00BB4207"/>
    <w:rsid w:val="00BB4BDD"/>
    <w:rsid w:val="00BB6851"/>
    <w:rsid w:val="00BB6AB1"/>
    <w:rsid w:val="00BB72EB"/>
    <w:rsid w:val="00BB7687"/>
    <w:rsid w:val="00BC0591"/>
    <w:rsid w:val="00BC19C6"/>
    <w:rsid w:val="00BC266E"/>
    <w:rsid w:val="00BC2A4F"/>
    <w:rsid w:val="00BC3802"/>
    <w:rsid w:val="00BC3967"/>
    <w:rsid w:val="00BC3ADD"/>
    <w:rsid w:val="00BC4BEF"/>
    <w:rsid w:val="00BC5C16"/>
    <w:rsid w:val="00BC5CBC"/>
    <w:rsid w:val="00BC5CC6"/>
    <w:rsid w:val="00BC5CE8"/>
    <w:rsid w:val="00BD0FD0"/>
    <w:rsid w:val="00BD1F41"/>
    <w:rsid w:val="00BD2411"/>
    <w:rsid w:val="00BD2C09"/>
    <w:rsid w:val="00BD2ECE"/>
    <w:rsid w:val="00BD421F"/>
    <w:rsid w:val="00BD56AF"/>
    <w:rsid w:val="00BD5ED5"/>
    <w:rsid w:val="00BD669F"/>
    <w:rsid w:val="00BD6D54"/>
    <w:rsid w:val="00BE053F"/>
    <w:rsid w:val="00BE093E"/>
    <w:rsid w:val="00BE0B3B"/>
    <w:rsid w:val="00BE1C55"/>
    <w:rsid w:val="00BE3190"/>
    <w:rsid w:val="00BE323D"/>
    <w:rsid w:val="00BE5327"/>
    <w:rsid w:val="00BE582F"/>
    <w:rsid w:val="00BE6F09"/>
    <w:rsid w:val="00BE70CB"/>
    <w:rsid w:val="00BE739A"/>
    <w:rsid w:val="00BE74BF"/>
    <w:rsid w:val="00BE7FC0"/>
    <w:rsid w:val="00BF068F"/>
    <w:rsid w:val="00BF06F0"/>
    <w:rsid w:val="00BF0EB2"/>
    <w:rsid w:val="00BF1FF9"/>
    <w:rsid w:val="00BF24E4"/>
    <w:rsid w:val="00BF559D"/>
    <w:rsid w:val="00BF5F68"/>
    <w:rsid w:val="00BF6C94"/>
    <w:rsid w:val="00BF7C5E"/>
    <w:rsid w:val="00C0011E"/>
    <w:rsid w:val="00C01170"/>
    <w:rsid w:val="00C01C10"/>
    <w:rsid w:val="00C01CD0"/>
    <w:rsid w:val="00C02970"/>
    <w:rsid w:val="00C045C1"/>
    <w:rsid w:val="00C04802"/>
    <w:rsid w:val="00C05831"/>
    <w:rsid w:val="00C05866"/>
    <w:rsid w:val="00C0694C"/>
    <w:rsid w:val="00C06DDF"/>
    <w:rsid w:val="00C07547"/>
    <w:rsid w:val="00C10765"/>
    <w:rsid w:val="00C11FEB"/>
    <w:rsid w:val="00C12080"/>
    <w:rsid w:val="00C13029"/>
    <w:rsid w:val="00C13233"/>
    <w:rsid w:val="00C14AAF"/>
    <w:rsid w:val="00C1559C"/>
    <w:rsid w:val="00C1583A"/>
    <w:rsid w:val="00C15B8B"/>
    <w:rsid w:val="00C17B4F"/>
    <w:rsid w:val="00C17CC1"/>
    <w:rsid w:val="00C20692"/>
    <w:rsid w:val="00C2177E"/>
    <w:rsid w:val="00C21802"/>
    <w:rsid w:val="00C21956"/>
    <w:rsid w:val="00C221F0"/>
    <w:rsid w:val="00C2287B"/>
    <w:rsid w:val="00C23E38"/>
    <w:rsid w:val="00C243A5"/>
    <w:rsid w:val="00C24C5C"/>
    <w:rsid w:val="00C24E4A"/>
    <w:rsid w:val="00C264CF"/>
    <w:rsid w:val="00C267EA"/>
    <w:rsid w:val="00C272ED"/>
    <w:rsid w:val="00C3184F"/>
    <w:rsid w:val="00C32338"/>
    <w:rsid w:val="00C328C9"/>
    <w:rsid w:val="00C3290B"/>
    <w:rsid w:val="00C331D1"/>
    <w:rsid w:val="00C33743"/>
    <w:rsid w:val="00C34144"/>
    <w:rsid w:val="00C3604F"/>
    <w:rsid w:val="00C36EB0"/>
    <w:rsid w:val="00C375DB"/>
    <w:rsid w:val="00C40EF7"/>
    <w:rsid w:val="00C42758"/>
    <w:rsid w:val="00C42EB3"/>
    <w:rsid w:val="00C42EE6"/>
    <w:rsid w:val="00C43615"/>
    <w:rsid w:val="00C43B9F"/>
    <w:rsid w:val="00C44801"/>
    <w:rsid w:val="00C44F3E"/>
    <w:rsid w:val="00C47911"/>
    <w:rsid w:val="00C506D8"/>
    <w:rsid w:val="00C521EA"/>
    <w:rsid w:val="00C52540"/>
    <w:rsid w:val="00C53BAB"/>
    <w:rsid w:val="00C57812"/>
    <w:rsid w:val="00C60244"/>
    <w:rsid w:val="00C60EDF"/>
    <w:rsid w:val="00C61262"/>
    <w:rsid w:val="00C614D7"/>
    <w:rsid w:val="00C623A5"/>
    <w:rsid w:val="00C6266E"/>
    <w:rsid w:val="00C63DC1"/>
    <w:rsid w:val="00C66E7A"/>
    <w:rsid w:val="00C67CEB"/>
    <w:rsid w:val="00C70E7E"/>
    <w:rsid w:val="00C70F39"/>
    <w:rsid w:val="00C72315"/>
    <w:rsid w:val="00C728B5"/>
    <w:rsid w:val="00C73959"/>
    <w:rsid w:val="00C73991"/>
    <w:rsid w:val="00C748F1"/>
    <w:rsid w:val="00C75410"/>
    <w:rsid w:val="00C75BD2"/>
    <w:rsid w:val="00C76323"/>
    <w:rsid w:val="00C77149"/>
    <w:rsid w:val="00C7777C"/>
    <w:rsid w:val="00C80B94"/>
    <w:rsid w:val="00C80DD6"/>
    <w:rsid w:val="00C812D6"/>
    <w:rsid w:val="00C81B64"/>
    <w:rsid w:val="00C82AFB"/>
    <w:rsid w:val="00C8305E"/>
    <w:rsid w:val="00C83BA7"/>
    <w:rsid w:val="00C847F2"/>
    <w:rsid w:val="00C84AC7"/>
    <w:rsid w:val="00C85E27"/>
    <w:rsid w:val="00C879C3"/>
    <w:rsid w:val="00C9080D"/>
    <w:rsid w:val="00C90D58"/>
    <w:rsid w:val="00C92CE8"/>
    <w:rsid w:val="00C92F71"/>
    <w:rsid w:val="00C93B25"/>
    <w:rsid w:val="00C93C49"/>
    <w:rsid w:val="00C95315"/>
    <w:rsid w:val="00C9594E"/>
    <w:rsid w:val="00C96216"/>
    <w:rsid w:val="00C96452"/>
    <w:rsid w:val="00C96A37"/>
    <w:rsid w:val="00C97987"/>
    <w:rsid w:val="00C97C17"/>
    <w:rsid w:val="00CA01AF"/>
    <w:rsid w:val="00CA08D4"/>
    <w:rsid w:val="00CA0D13"/>
    <w:rsid w:val="00CA1560"/>
    <w:rsid w:val="00CA1E9B"/>
    <w:rsid w:val="00CA1F11"/>
    <w:rsid w:val="00CA1F59"/>
    <w:rsid w:val="00CA28ED"/>
    <w:rsid w:val="00CA3081"/>
    <w:rsid w:val="00CA4F56"/>
    <w:rsid w:val="00CA5258"/>
    <w:rsid w:val="00CA5AED"/>
    <w:rsid w:val="00CA61D4"/>
    <w:rsid w:val="00CA6A16"/>
    <w:rsid w:val="00CA7B9C"/>
    <w:rsid w:val="00CA7EA9"/>
    <w:rsid w:val="00CB06B4"/>
    <w:rsid w:val="00CB0B3E"/>
    <w:rsid w:val="00CB3AB9"/>
    <w:rsid w:val="00CB3D72"/>
    <w:rsid w:val="00CB3E27"/>
    <w:rsid w:val="00CB445E"/>
    <w:rsid w:val="00CB451A"/>
    <w:rsid w:val="00CB50B8"/>
    <w:rsid w:val="00CB53A3"/>
    <w:rsid w:val="00CB5B4D"/>
    <w:rsid w:val="00CB644B"/>
    <w:rsid w:val="00CB7110"/>
    <w:rsid w:val="00CB729A"/>
    <w:rsid w:val="00CB753D"/>
    <w:rsid w:val="00CC15ED"/>
    <w:rsid w:val="00CC2CCE"/>
    <w:rsid w:val="00CC3530"/>
    <w:rsid w:val="00CC4793"/>
    <w:rsid w:val="00CC480A"/>
    <w:rsid w:val="00CC4F50"/>
    <w:rsid w:val="00CC65E3"/>
    <w:rsid w:val="00CC677E"/>
    <w:rsid w:val="00CC6FF6"/>
    <w:rsid w:val="00CC70CA"/>
    <w:rsid w:val="00CC713C"/>
    <w:rsid w:val="00CC750E"/>
    <w:rsid w:val="00CD067B"/>
    <w:rsid w:val="00CD086C"/>
    <w:rsid w:val="00CD2362"/>
    <w:rsid w:val="00CD3EC1"/>
    <w:rsid w:val="00CD4445"/>
    <w:rsid w:val="00CD4521"/>
    <w:rsid w:val="00CD4867"/>
    <w:rsid w:val="00CD4A2E"/>
    <w:rsid w:val="00CD6EAD"/>
    <w:rsid w:val="00CE02DC"/>
    <w:rsid w:val="00CE0D27"/>
    <w:rsid w:val="00CE0FA1"/>
    <w:rsid w:val="00CE122F"/>
    <w:rsid w:val="00CE1AF6"/>
    <w:rsid w:val="00CE290E"/>
    <w:rsid w:val="00CE2A7B"/>
    <w:rsid w:val="00CE3308"/>
    <w:rsid w:val="00CE3CFC"/>
    <w:rsid w:val="00CE3F97"/>
    <w:rsid w:val="00CE5727"/>
    <w:rsid w:val="00CE6F10"/>
    <w:rsid w:val="00CE7331"/>
    <w:rsid w:val="00CE7671"/>
    <w:rsid w:val="00CF0D87"/>
    <w:rsid w:val="00CF1E5E"/>
    <w:rsid w:val="00CF28B4"/>
    <w:rsid w:val="00CF3716"/>
    <w:rsid w:val="00CF465E"/>
    <w:rsid w:val="00CF4D2F"/>
    <w:rsid w:val="00CF5BEE"/>
    <w:rsid w:val="00D00456"/>
    <w:rsid w:val="00D00572"/>
    <w:rsid w:val="00D03F8C"/>
    <w:rsid w:val="00D041BA"/>
    <w:rsid w:val="00D04293"/>
    <w:rsid w:val="00D04944"/>
    <w:rsid w:val="00D04D3D"/>
    <w:rsid w:val="00D06DE8"/>
    <w:rsid w:val="00D06E0D"/>
    <w:rsid w:val="00D11354"/>
    <w:rsid w:val="00D11B34"/>
    <w:rsid w:val="00D12D91"/>
    <w:rsid w:val="00D13346"/>
    <w:rsid w:val="00D1411A"/>
    <w:rsid w:val="00D14DB4"/>
    <w:rsid w:val="00D15C22"/>
    <w:rsid w:val="00D165E1"/>
    <w:rsid w:val="00D17964"/>
    <w:rsid w:val="00D17B53"/>
    <w:rsid w:val="00D20AA0"/>
    <w:rsid w:val="00D20AFD"/>
    <w:rsid w:val="00D20F98"/>
    <w:rsid w:val="00D22038"/>
    <w:rsid w:val="00D222EC"/>
    <w:rsid w:val="00D22D8B"/>
    <w:rsid w:val="00D22FFC"/>
    <w:rsid w:val="00D2371E"/>
    <w:rsid w:val="00D23BAC"/>
    <w:rsid w:val="00D24626"/>
    <w:rsid w:val="00D26006"/>
    <w:rsid w:val="00D27074"/>
    <w:rsid w:val="00D306AD"/>
    <w:rsid w:val="00D30810"/>
    <w:rsid w:val="00D311EA"/>
    <w:rsid w:val="00D31B59"/>
    <w:rsid w:val="00D33DC4"/>
    <w:rsid w:val="00D34720"/>
    <w:rsid w:val="00D35992"/>
    <w:rsid w:val="00D36499"/>
    <w:rsid w:val="00D368E0"/>
    <w:rsid w:val="00D3726B"/>
    <w:rsid w:val="00D377D6"/>
    <w:rsid w:val="00D3791F"/>
    <w:rsid w:val="00D37A7F"/>
    <w:rsid w:val="00D40785"/>
    <w:rsid w:val="00D40B60"/>
    <w:rsid w:val="00D429D5"/>
    <w:rsid w:val="00D42C03"/>
    <w:rsid w:val="00D43F5D"/>
    <w:rsid w:val="00D444BD"/>
    <w:rsid w:val="00D44A31"/>
    <w:rsid w:val="00D45B16"/>
    <w:rsid w:val="00D45B78"/>
    <w:rsid w:val="00D466CC"/>
    <w:rsid w:val="00D47013"/>
    <w:rsid w:val="00D53E02"/>
    <w:rsid w:val="00D53E46"/>
    <w:rsid w:val="00D543E2"/>
    <w:rsid w:val="00D54C44"/>
    <w:rsid w:val="00D55F23"/>
    <w:rsid w:val="00D56301"/>
    <w:rsid w:val="00D56A18"/>
    <w:rsid w:val="00D56D93"/>
    <w:rsid w:val="00D5708F"/>
    <w:rsid w:val="00D579EA"/>
    <w:rsid w:val="00D57FDF"/>
    <w:rsid w:val="00D6024C"/>
    <w:rsid w:val="00D60375"/>
    <w:rsid w:val="00D60B42"/>
    <w:rsid w:val="00D6145A"/>
    <w:rsid w:val="00D626D7"/>
    <w:rsid w:val="00D62803"/>
    <w:rsid w:val="00D62F58"/>
    <w:rsid w:val="00D630F1"/>
    <w:rsid w:val="00D6436A"/>
    <w:rsid w:val="00D64961"/>
    <w:rsid w:val="00D64F4E"/>
    <w:rsid w:val="00D658CD"/>
    <w:rsid w:val="00D66B09"/>
    <w:rsid w:val="00D66F06"/>
    <w:rsid w:val="00D66F18"/>
    <w:rsid w:val="00D6778C"/>
    <w:rsid w:val="00D67B0E"/>
    <w:rsid w:val="00D67BFA"/>
    <w:rsid w:val="00D7045B"/>
    <w:rsid w:val="00D70E8E"/>
    <w:rsid w:val="00D723A9"/>
    <w:rsid w:val="00D74816"/>
    <w:rsid w:val="00D74A4C"/>
    <w:rsid w:val="00D758F6"/>
    <w:rsid w:val="00D763CF"/>
    <w:rsid w:val="00D763E6"/>
    <w:rsid w:val="00D76596"/>
    <w:rsid w:val="00D76B9B"/>
    <w:rsid w:val="00D80210"/>
    <w:rsid w:val="00D806E8"/>
    <w:rsid w:val="00D80F6C"/>
    <w:rsid w:val="00D81CF8"/>
    <w:rsid w:val="00D82042"/>
    <w:rsid w:val="00D8257B"/>
    <w:rsid w:val="00D82C3D"/>
    <w:rsid w:val="00D85526"/>
    <w:rsid w:val="00D85833"/>
    <w:rsid w:val="00D86B60"/>
    <w:rsid w:val="00D86C96"/>
    <w:rsid w:val="00D86F42"/>
    <w:rsid w:val="00D86FC4"/>
    <w:rsid w:val="00D8765A"/>
    <w:rsid w:val="00D8798E"/>
    <w:rsid w:val="00D87BD8"/>
    <w:rsid w:val="00D8997C"/>
    <w:rsid w:val="00D911B5"/>
    <w:rsid w:val="00D911D7"/>
    <w:rsid w:val="00D9223A"/>
    <w:rsid w:val="00D927AF"/>
    <w:rsid w:val="00D92917"/>
    <w:rsid w:val="00D92CB3"/>
    <w:rsid w:val="00D932DB"/>
    <w:rsid w:val="00D954E8"/>
    <w:rsid w:val="00D95C5E"/>
    <w:rsid w:val="00D96388"/>
    <w:rsid w:val="00D967AC"/>
    <w:rsid w:val="00D96D0D"/>
    <w:rsid w:val="00D97050"/>
    <w:rsid w:val="00D972AE"/>
    <w:rsid w:val="00DA0F93"/>
    <w:rsid w:val="00DA136C"/>
    <w:rsid w:val="00DA13EA"/>
    <w:rsid w:val="00DA2E32"/>
    <w:rsid w:val="00DA4981"/>
    <w:rsid w:val="00DA5DC2"/>
    <w:rsid w:val="00DA5F64"/>
    <w:rsid w:val="00DA6459"/>
    <w:rsid w:val="00DA6731"/>
    <w:rsid w:val="00DA6D1A"/>
    <w:rsid w:val="00DA79EB"/>
    <w:rsid w:val="00DA7DBB"/>
    <w:rsid w:val="00DB0307"/>
    <w:rsid w:val="00DB06DC"/>
    <w:rsid w:val="00DB1270"/>
    <w:rsid w:val="00DB1963"/>
    <w:rsid w:val="00DB3A11"/>
    <w:rsid w:val="00DB3B7F"/>
    <w:rsid w:val="00DB3E57"/>
    <w:rsid w:val="00DB3F2B"/>
    <w:rsid w:val="00DB7E8A"/>
    <w:rsid w:val="00DC0F12"/>
    <w:rsid w:val="00DC30C9"/>
    <w:rsid w:val="00DC3938"/>
    <w:rsid w:val="00DC3CCB"/>
    <w:rsid w:val="00DC4433"/>
    <w:rsid w:val="00DC51D4"/>
    <w:rsid w:val="00DC5367"/>
    <w:rsid w:val="00DC55F1"/>
    <w:rsid w:val="00DC672F"/>
    <w:rsid w:val="00DC751D"/>
    <w:rsid w:val="00DD0920"/>
    <w:rsid w:val="00DD19D8"/>
    <w:rsid w:val="00DD2D25"/>
    <w:rsid w:val="00DD4519"/>
    <w:rsid w:val="00DD4568"/>
    <w:rsid w:val="00DD53F3"/>
    <w:rsid w:val="00DD574F"/>
    <w:rsid w:val="00DD5F34"/>
    <w:rsid w:val="00DD6042"/>
    <w:rsid w:val="00DD66B8"/>
    <w:rsid w:val="00DD7E46"/>
    <w:rsid w:val="00DE02B8"/>
    <w:rsid w:val="00DE0BDC"/>
    <w:rsid w:val="00DE1B14"/>
    <w:rsid w:val="00DE2184"/>
    <w:rsid w:val="00DE27B7"/>
    <w:rsid w:val="00DE4236"/>
    <w:rsid w:val="00DE560C"/>
    <w:rsid w:val="00DE6AA8"/>
    <w:rsid w:val="00DE6DE1"/>
    <w:rsid w:val="00DF0042"/>
    <w:rsid w:val="00DF00EB"/>
    <w:rsid w:val="00DF00F3"/>
    <w:rsid w:val="00DF0E69"/>
    <w:rsid w:val="00DF16B2"/>
    <w:rsid w:val="00DF393E"/>
    <w:rsid w:val="00DF3FD3"/>
    <w:rsid w:val="00DF4644"/>
    <w:rsid w:val="00DF4A6A"/>
    <w:rsid w:val="00DF6634"/>
    <w:rsid w:val="00DF690B"/>
    <w:rsid w:val="00DF6954"/>
    <w:rsid w:val="00DF7C21"/>
    <w:rsid w:val="00E00123"/>
    <w:rsid w:val="00E02698"/>
    <w:rsid w:val="00E02F52"/>
    <w:rsid w:val="00E03C5D"/>
    <w:rsid w:val="00E03E15"/>
    <w:rsid w:val="00E03E87"/>
    <w:rsid w:val="00E03F84"/>
    <w:rsid w:val="00E03FA7"/>
    <w:rsid w:val="00E04B4D"/>
    <w:rsid w:val="00E05DFD"/>
    <w:rsid w:val="00E05FAD"/>
    <w:rsid w:val="00E10A84"/>
    <w:rsid w:val="00E10B32"/>
    <w:rsid w:val="00E10F53"/>
    <w:rsid w:val="00E112E8"/>
    <w:rsid w:val="00E1184D"/>
    <w:rsid w:val="00E11AAB"/>
    <w:rsid w:val="00E1298C"/>
    <w:rsid w:val="00E129C4"/>
    <w:rsid w:val="00E131AD"/>
    <w:rsid w:val="00E131CB"/>
    <w:rsid w:val="00E136B8"/>
    <w:rsid w:val="00E14618"/>
    <w:rsid w:val="00E14E6E"/>
    <w:rsid w:val="00E1513C"/>
    <w:rsid w:val="00E1686D"/>
    <w:rsid w:val="00E16DDA"/>
    <w:rsid w:val="00E17D87"/>
    <w:rsid w:val="00E21099"/>
    <w:rsid w:val="00E2167C"/>
    <w:rsid w:val="00E21878"/>
    <w:rsid w:val="00E22A5F"/>
    <w:rsid w:val="00E22BE3"/>
    <w:rsid w:val="00E22D7A"/>
    <w:rsid w:val="00E233B8"/>
    <w:rsid w:val="00E236F8"/>
    <w:rsid w:val="00E23BD3"/>
    <w:rsid w:val="00E2467F"/>
    <w:rsid w:val="00E24ADA"/>
    <w:rsid w:val="00E24C84"/>
    <w:rsid w:val="00E26BC0"/>
    <w:rsid w:val="00E313E6"/>
    <w:rsid w:val="00E314CF"/>
    <w:rsid w:val="00E321E0"/>
    <w:rsid w:val="00E32545"/>
    <w:rsid w:val="00E33CCA"/>
    <w:rsid w:val="00E34222"/>
    <w:rsid w:val="00E3520B"/>
    <w:rsid w:val="00E3534C"/>
    <w:rsid w:val="00E35A9B"/>
    <w:rsid w:val="00E36001"/>
    <w:rsid w:val="00E40E2B"/>
    <w:rsid w:val="00E429E2"/>
    <w:rsid w:val="00E42A23"/>
    <w:rsid w:val="00E42BE3"/>
    <w:rsid w:val="00E43230"/>
    <w:rsid w:val="00E4428E"/>
    <w:rsid w:val="00E44A34"/>
    <w:rsid w:val="00E45A81"/>
    <w:rsid w:val="00E46250"/>
    <w:rsid w:val="00E46686"/>
    <w:rsid w:val="00E46951"/>
    <w:rsid w:val="00E46D9F"/>
    <w:rsid w:val="00E5031B"/>
    <w:rsid w:val="00E506E9"/>
    <w:rsid w:val="00E50880"/>
    <w:rsid w:val="00E50F84"/>
    <w:rsid w:val="00E51168"/>
    <w:rsid w:val="00E5330A"/>
    <w:rsid w:val="00E547D6"/>
    <w:rsid w:val="00E556E9"/>
    <w:rsid w:val="00E55868"/>
    <w:rsid w:val="00E57462"/>
    <w:rsid w:val="00E596DB"/>
    <w:rsid w:val="00E6171B"/>
    <w:rsid w:val="00E62E9F"/>
    <w:rsid w:val="00E63113"/>
    <w:rsid w:val="00E6396B"/>
    <w:rsid w:val="00E63B47"/>
    <w:rsid w:val="00E6501F"/>
    <w:rsid w:val="00E654B8"/>
    <w:rsid w:val="00E65A62"/>
    <w:rsid w:val="00E65E77"/>
    <w:rsid w:val="00E66EB8"/>
    <w:rsid w:val="00E6720A"/>
    <w:rsid w:val="00E70D6B"/>
    <w:rsid w:val="00E71506"/>
    <w:rsid w:val="00E71A98"/>
    <w:rsid w:val="00E72DAD"/>
    <w:rsid w:val="00E730CD"/>
    <w:rsid w:val="00E73379"/>
    <w:rsid w:val="00E73D85"/>
    <w:rsid w:val="00E74483"/>
    <w:rsid w:val="00E75858"/>
    <w:rsid w:val="00E75B10"/>
    <w:rsid w:val="00E76D43"/>
    <w:rsid w:val="00E77AC1"/>
    <w:rsid w:val="00E77ADC"/>
    <w:rsid w:val="00E804E8"/>
    <w:rsid w:val="00E80861"/>
    <w:rsid w:val="00E80902"/>
    <w:rsid w:val="00E82C9F"/>
    <w:rsid w:val="00E8331A"/>
    <w:rsid w:val="00E8557A"/>
    <w:rsid w:val="00E86216"/>
    <w:rsid w:val="00E86243"/>
    <w:rsid w:val="00E864DE"/>
    <w:rsid w:val="00E86A7E"/>
    <w:rsid w:val="00E87798"/>
    <w:rsid w:val="00E87832"/>
    <w:rsid w:val="00E90426"/>
    <w:rsid w:val="00E90DD2"/>
    <w:rsid w:val="00E91049"/>
    <w:rsid w:val="00E91236"/>
    <w:rsid w:val="00E9199E"/>
    <w:rsid w:val="00E91A89"/>
    <w:rsid w:val="00E92E98"/>
    <w:rsid w:val="00E92FF7"/>
    <w:rsid w:val="00E9303B"/>
    <w:rsid w:val="00E9318E"/>
    <w:rsid w:val="00E9491C"/>
    <w:rsid w:val="00E94F24"/>
    <w:rsid w:val="00E9629D"/>
    <w:rsid w:val="00E963F6"/>
    <w:rsid w:val="00E96492"/>
    <w:rsid w:val="00E96CA6"/>
    <w:rsid w:val="00E96DBD"/>
    <w:rsid w:val="00E9E1E2"/>
    <w:rsid w:val="00EA37DB"/>
    <w:rsid w:val="00EA3A2B"/>
    <w:rsid w:val="00EA3EDA"/>
    <w:rsid w:val="00EA53B2"/>
    <w:rsid w:val="00EA6627"/>
    <w:rsid w:val="00EA754D"/>
    <w:rsid w:val="00EB083F"/>
    <w:rsid w:val="00EB11B9"/>
    <w:rsid w:val="00EB38CB"/>
    <w:rsid w:val="00EB4BD7"/>
    <w:rsid w:val="00EB4FA2"/>
    <w:rsid w:val="00EB591F"/>
    <w:rsid w:val="00EB6076"/>
    <w:rsid w:val="00EB6127"/>
    <w:rsid w:val="00EB6279"/>
    <w:rsid w:val="00EB734B"/>
    <w:rsid w:val="00EB75D8"/>
    <w:rsid w:val="00EB7F5E"/>
    <w:rsid w:val="00EC0889"/>
    <w:rsid w:val="00EC0CA7"/>
    <w:rsid w:val="00EC1A38"/>
    <w:rsid w:val="00EC1BA3"/>
    <w:rsid w:val="00EC1F10"/>
    <w:rsid w:val="00EC220C"/>
    <w:rsid w:val="00EC3AAE"/>
    <w:rsid w:val="00EC3E1B"/>
    <w:rsid w:val="00EC43D4"/>
    <w:rsid w:val="00EC453E"/>
    <w:rsid w:val="00EC5B60"/>
    <w:rsid w:val="00EC6591"/>
    <w:rsid w:val="00EC6B4D"/>
    <w:rsid w:val="00EC7AB4"/>
    <w:rsid w:val="00EC7D7B"/>
    <w:rsid w:val="00ED1D2E"/>
    <w:rsid w:val="00ED235B"/>
    <w:rsid w:val="00ED2EF5"/>
    <w:rsid w:val="00ED351B"/>
    <w:rsid w:val="00ED457E"/>
    <w:rsid w:val="00ED5322"/>
    <w:rsid w:val="00ED6E8B"/>
    <w:rsid w:val="00ED7796"/>
    <w:rsid w:val="00EE0060"/>
    <w:rsid w:val="00EE0754"/>
    <w:rsid w:val="00EE0F55"/>
    <w:rsid w:val="00EE1719"/>
    <w:rsid w:val="00EE1EEC"/>
    <w:rsid w:val="00EE21E8"/>
    <w:rsid w:val="00EE3E13"/>
    <w:rsid w:val="00EE4D32"/>
    <w:rsid w:val="00EE7953"/>
    <w:rsid w:val="00EEDFE1"/>
    <w:rsid w:val="00EF0F29"/>
    <w:rsid w:val="00EF10AE"/>
    <w:rsid w:val="00EF1A13"/>
    <w:rsid w:val="00EF3490"/>
    <w:rsid w:val="00EF3FB4"/>
    <w:rsid w:val="00EF3FF1"/>
    <w:rsid w:val="00EF423C"/>
    <w:rsid w:val="00EF5964"/>
    <w:rsid w:val="00EF6FA7"/>
    <w:rsid w:val="00EF75E0"/>
    <w:rsid w:val="00F00935"/>
    <w:rsid w:val="00F00AC4"/>
    <w:rsid w:val="00F00C28"/>
    <w:rsid w:val="00F00FE4"/>
    <w:rsid w:val="00F0251A"/>
    <w:rsid w:val="00F027A2"/>
    <w:rsid w:val="00F02A04"/>
    <w:rsid w:val="00F03532"/>
    <w:rsid w:val="00F05ED9"/>
    <w:rsid w:val="00F06753"/>
    <w:rsid w:val="00F06A83"/>
    <w:rsid w:val="00F07493"/>
    <w:rsid w:val="00F07822"/>
    <w:rsid w:val="00F07D2F"/>
    <w:rsid w:val="00F07FB1"/>
    <w:rsid w:val="00F10201"/>
    <w:rsid w:val="00F10310"/>
    <w:rsid w:val="00F10F0F"/>
    <w:rsid w:val="00F11529"/>
    <w:rsid w:val="00F115B8"/>
    <w:rsid w:val="00F115DC"/>
    <w:rsid w:val="00F118D3"/>
    <w:rsid w:val="00F130EB"/>
    <w:rsid w:val="00F13FFD"/>
    <w:rsid w:val="00F1407B"/>
    <w:rsid w:val="00F1551C"/>
    <w:rsid w:val="00F166EC"/>
    <w:rsid w:val="00F16E64"/>
    <w:rsid w:val="00F20904"/>
    <w:rsid w:val="00F20AF9"/>
    <w:rsid w:val="00F20CB6"/>
    <w:rsid w:val="00F211D1"/>
    <w:rsid w:val="00F2170F"/>
    <w:rsid w:val="00F21D14"/>
    <w:rsid w:val="00F21E36"/>
    <w:rsid w:val="00F22D43"/>
    <w:rsid w:val="00F23597"/>
    <w:rsid w:val="00F23A24"/>
    <w:rsid w:val="00F23AEA"/>
    <w:rsid w:val="00F2475E"/>
    <w:rsid w:val="00F24EE3"/>
    <w:rsid w:val="00F25FB4"/>
    <w:rsid w:val="00F26201"/>
    <w:rsid w:val="00F2769F"/>
    <w:rsid w:val="00F27D80"/>
    <w:rsid w:val="00F3035D"/>
    <w:rsid w:val="00F30402"/>
    <w:rsid w:val="00F30BD0"/>
    <w:rsid w:val="00F30DD3"/>
    <w:rsid w:val="00F313E7"/>
    <w:rsid w:val="00F3186C"/>
    <w:rsid w:val="00F3248D"/>
    <w:rsid w:val="00F329AA"/>
    <w:rsid w:val="00F32EE7"/>
    <w:rsid w:val="00F345D2"/>
    <w:rsid w:val="00F34D34"/>
    <w:rsid w:val="00F3529D"/>
    <w:rsid w:val="00F35C0E"/>
    <w:rsid w:val="00F36A3D"/>
    <w:rsid w:val="00F36B92"/>
    <w:rsid w:val="00F37009"/>
    <w:rsid w:val="00F3731B"/>
    <w:rsid w:val="00F37E7A"/>
    <w:rsid w:val="00F40449"/>
    <w:rsid w:val="00F42423"/>
    <w:rsid w:val="00F436B9"/>
    <w:rsid w:val="00F4505E"/>
    <w:rsid w:val="00F454AE"/>
    <w:rsid w:val="00F45D30"/>
    <w:rsid w:val="00F45FA5"/>
    <w:rsid w:val="00F47A40"/>
    <w:rsid w:val="00F47C67"/>
    <w:rsid w:val="00F47D77"/>
    <w:rsid w:val="00F47EC0"/>
    <w:rsid w:val="00F50951"/>
    <w:rsid w:val="00F51511"/>
    <w:rsid w:val="00F51A04"/>
    <w:rsid w:val="00F535D8"/>
    <w:rsid w:val="00F53617"/>
    <w:rsid w:val="00F550FC"/>
    <w:rsid w:val="00F551EB"/>
    <w:rsid w:val="00F56C80"/>
    <w:rsid w:val="00F56EBB"/>
    <w:rsid w:val="00F57667"/>
    <w:rsid w:val="00F57F66"/>
    <w:rsid w:val="00F613F1"/>
    <w:rsid w:val="00F61EDD"/>
    <w:rsid w:val="00F62B72"/>
    <w:rsid w:val="00F63CC8"/>
    <w:rsid w:val="00F6413E"/>
    <w:rsid w:val="00F64F25"/>
    <w:rsid w:val="00F66A92"/>
    <w:rsid w:val="00F66F0D"/>
    <w:rsid w:val="00F67330"/>
    <w:rsid w:val="00F70732"/>
    <w:rsid w:val="00F70978"/>
    <w:rsid w:val="00F70ADB"/>
    <w:rsid w:val="00F71247"/>
    <w:rsid w:val="00F72B4F"/>
    <w:rsid w:val="00F73AD1"/>
    <w:rsid w:val="00F7635F"/>
    <w:rsid w:val="00F7681F"/>
    <w:rsid w:val="00F77B67"/>
    <w:rsid w:val="00F8012F"/>
    <w:rsid w:val="00F804B7"/>
    <w:rsid w:val="00F80A75"/>
    <w:rsid w:val="00F81858"/>
    <w:rsid w:val="00F81C4D"/>
    <w:rsid w:val="00F81C75"/>
    <w:rsid w:val="00F81E11"/>
    <w:rsid w:val="00F84CEC"/>
    <w:rsid w:val="00F86629"/>
    <w:rsid w:val="00F90791"/>
    <w:rsid w:val="00F91219"/>
    <w:rsid w:val="00F92FF6"/>
    <w:rsid w:val="00F94BE2"/>
    <w:rsid w:val="00F95E9A"/>
    <w:rsid w:val="00F964F0"/>
    <w:rsid w:val="00F96D1B"/>
    <w:rsid w:val="00F96EEB"/>
    <w:rsid w:val="00FA0524"/>
    <w:rsid w:val="00FA085C"/>
    <w:rsid w:val="00FA0A26"/>
    <w:rsid w:val="00FA0FC9"/>
    <w:rsid w:val="00FA12A0"/>
    <w:rsid w:val="00FA2593"/>
    <w:rsid w:val="00FA2609"/>
    <w:rsid w:val="00FA2FAF"/>
    <w:rsid w:val="00FA3425"/>
    <w:rsid w:val="00FA43C4"/>
    <w:rsid w:val="00FA4577"/>
    <w:rsid w:val="00FA52F6"/>
    <w:rsid w:val="00FA61C3"/>
    <w:rsid w:val="00FA68D3"/>
    <w:rsid w:val="00FB093A"/>
    <w:rsid w:val="00FB0DE2"/>
    <w:rsid w:val="00FB16DC"/>
    <w:rsid w:val="00FB16EA"/>
    <w:rsid w:val="00FB1EF7"/>
    <w:rsid w:val="00FB230D"/>
    <w:rsid w:val="00FB47C4"/>
    <w:rsid w:val="00FB4A63"/>
    <w:rsid w:val="00FB4E3E"/>
    <w:rsid w:val="00FB6283"/>
    <w:rsid w:val="00FB78D1"/>
    <w:rsid w:val="00FB7CF2"/>
    <w:rsid w:val="00FB7E1E"/>
    <w:rsid w:val="00FB7FA9"/>
    <w:rsid w:val="00FC0313"/>
    <w:rsid w:val="00FC0529"/>
    <w:rsid w:val="00FC0CD0"/>
    <w:rsid w:val="00FC0E3F"/>
    <w:rsid w:val="00FC1609"/>
    <w:rsid w:val="00FC1AAD"/>
    <w:rsid w:val="00FC2EEB"/>
    <w:rsid w:val="00FC2F04"/>
    <w:rsid w:val="00FC3722"/>
    <w:rsid w:val="00FC3B15"/>
    <w:rsid w:val="00FC405B"/>
    <w:rsid w:val="00FC42C4"/>
    <w:rsid w:val="00FC4842"/>
    <w:rsid w:val="00FC5555"/>
    <w:rsid w:val="00FC6298"/>
    <w:rsid w:val="00FC64E8"/>
    <w:rsid w:val="00FC6DCA"/>
    <w:rsid w:val="00FC7E3D"/>
    <w:rsid w:val="00FD07BF"/>
    <w:rsid w:val="00FD1365"/>
    <w:rsid w:val="00FD13B3"/>
    <w:rsid w:val="00FD1E57"/>
    <w:rsid w:val="00FD3720"/>
    <w:rsid w:val="00FD5554"/>
    <w:rsid w:val="00FD638C"/>
    <w:rsid w:val="00FD653F"/>
    <w:rsid w:val="00FD661D"/>
    <w:rsid w:val="00FD6EC1"/>
    <w:rsid w:val="00FD7A40"/>
    <w:rsid w:val="00FD7F98"/>
    <w:rsid w:val="00FE0286"/>
    <w:rsid w:val="00FE065C"/>
    <w:rsid w:val="00FE0674"/>
    <w:rsid w:val="00FE1506"/>
    <w:rsid w:val="00FE1C05"/>
    <w:rsid w:val="00FE247D"/>
    <w:rsid w:val="00FE3663"/>
    <w:rsid w:val="00FE3F1D"/>
    <w:rsid w:val="00FE435D"/>
    <w:rsid w:val="00FE578F"/>
    <w:rsid w:val="00FE5B9C"/>
    <w:rsid w:val="00FE685C"/>
    <w:rsid w:val="00FE6EA9"/>
    <w:rsid w:val="00FE71B5"/>
    <w:rsid w:val="00FE792A"/>
    <w:rsid w:val="00FF06AB"/>
    <w:rsid w:val="00FF21F5"/>
    <w:rsid w:val="00FF34EB"/>
    <w:rsid w:val="00FF4E94"/>
    <w:rsid w:val="00FF5B45"/>
    <w:rsid w:val="00FF6357"/>
    <w:rsid w:val="00FF6630"/>
    <w:rsid w:val="00FF6B95"/>
    <w:rsid w:val="00FF6E8C"/>
    <w:rsid w:val="010ED536"/>
    <w:rsid w:val="01136EBF"/>
    <w:rsid w:val="011D7072"/>
    <w:rsid w:val="01371B37"/>
    <w:rsid w:val="0149D915"/>
    <w:rsid w:val="01679410"/>
    <w:rsid w:val="01690480"/>
    <w:rsid w:val="01721F36"/>
    <w:rsid w:val="017D054B"/>
    <w:rsid w:val="018273F9"/>
    <w:rsid w:val="019BE32F"/>
    <w:rsid w:val="01A5C8D4"/>
    <w:rsid w:val="01B01F14"/>
    <w:rsid w:val="01B6143E"/>
    <w:rsid w:val="01C2DC26"/>
    <w:rsid w:val="01C8ECC0"/>
    <w:rsid w:val="01D31865"/>
    <w:rsid w:val="01D62A30"/>
    <w:rsid w:val="01F429F7"/>
    <w:rsid w:val="01F7D00A"/>
    <w:rsid w:val="01F9CA78"/>
    <w:rsid w:val="01FE3C3E"/>
    <w:rsid w:val="02032056"/>
    <w:rsid w:val="0209E164"/>
    <w:rsid w:val="02107C8D"/>
    <w:rsid w:val="0243AE7F"/>
    <w:rsid w:val="0258B946"/>
    <w:rsid w:val="02840629"/>
    <w:rsid w:val="02890CC6"/>
    <w:rsid w:val="02946E2A"/>
    <w:rsid w:val="02A18C1C"/>
    <w:rsid w:val="02A6F84F"/>
    <w:rsid w:val="02C7E21D"/>
    <w:rsid w:val="02D87877"/>
    <w:rsid w:val="02DEA86C"/>
    <w:rsid w:val="02DFBFD8"/>
    <w:rsid w:val="02FC50AA"/>
    <w:rsid w:val="02FD3102"/>
    <w:rsid w:val="030095D2"/>
    <w:rsid w:val="0315122A"/>
    <w:rsid w:val="031AAFA5"/>
    <w:rsid w:val="031C98C1"/>
    <w:rsid w:val="031D698B"/>
    <w:rsid w:val="032359AF"/>
    <w:rsid w:val="032A5874"/>
    <w:rsid w:val="03340509"/>
    <w:rsid w:val="03435FA5"/>
    <w:rsid w:val="0347C9A4"/>
    <w:rsid w:val="035C0416"/>
    <w:rsid w:val="0367C561"/>
    <w:rsid w:val="036B2748"/>
    <w:rsid w:val="037467E2"/>
    <w:rsid w:val="0379CF7E"/>
    <w:rsid w:val="037C9BD9"/>
    <w:rsid w:val="037D21ED"/>
    <w:rsid w:val="038467C2"/>
    <w:rsid w:val="0388CE0D"/>
    <w:rsid w:val="038A7E72"/>
    <w:rsid w:val="038ECF44"/>
    <w:rsid w:val="038F099A"/>
    <w:rsid w:val="038FA413"/>
    <w:rsid w:val="03962D85"/>
    <w:rsid w:val="03A90873"/>
    <w:rsid w:val="03AE548A"/>
    <w:rsid w:val="03B13EBB"/>
    <w:rsid w:val="03C58895"/>
    <w:rsid w:val="03D599BF"/>
    <w:rsid w:val="03F9EE61"/>
    <w:rsid w:val="03FEBC50"/>
    <w:rsid w:val="0403BBDD"/>
    <w:rsid w:val="04095D90"/>
    <w:rsid w:val="040B41A2"/>
    <w:rsid w:val="04118B6E"/>
    <w:rsid w:val="041AFD66"/>
    <w:rsid w:val="04226CA7"/>
    <w:rsid w:val="0432A89D"/>
    <w:rsid w:val="044435BA"/>
    <w:rsid w:val="0444ADAB"/>
    <w:rsid w:val="044CB200"/>
    <w:rsid w:val="0473A7CA"/>
    <w:rsid w:val="04775C94"/>
    <w:rsid w:val="0478F3A8"/>
    <w:rsid w:val="047991A9"/>
    <w:rsid w:val="047E92A0"/>
    <w:rsid w:val="0485E6A8"/>
    <w:rsid w:val="048DB03F"/>
    <w:rsid w:val="04B2E071"/>
    <w:rsid w:val="04C1C05E"/>
    <w:rsid w:val="04C277A3"/>
    <w:rsid w:val="04C39DD3"/>
    <w:rsid w:val="04EDF767"/>
    <w:rsid w:val="04F39AF6"/>
    <w:rsid w:val="04FC0C10"/>
    <w:rsid w:val="050AEE86"/>
    <w:rsid w:val="05122F77"/>
    <w:rsid w:val="051536BB"/>
    <w:rsid w:val="05223E5C"/>
    <w:rsid w:val="05275FED"/>
    <w:rsid w:val="0550E4C2"/>
    <w:rsid w:val="05659B9C"/>
    <w:rsid w:val="0569197F"/>
    <w:rsid w:val="056BB4F3"/>
    <w:rsid w:val="05731C8E"/>
    <w:rsid w:val="05797EB3"/>
    <w:rsid w:val="057C53A8"/>
    <w:rsid w:val="0584ADA1"/>
    <w:rsid w:val="059851B4"/>
    <w:rsid w:val="059F3C72"/>
    <w:rsid w:val="05A79C40"/>
    <w:rsid w:val="05AA9072"/>
    <w:rsid w:val="05B267F1"/>
    <w:rsid w:val="05BE44D8"/>
    <w:rsid w:val="05C7F5EB"/>
    <w:rsid w:val="05C9C5EB"/>
    <w:rsid w:val="05E0E660"/>
    <w:rsid w:val="05F75399"/>
    <w:rsid w:val="05F9193E"/>
    <w:rsid w:val="0615C7D6"/>
    <w:rsid w:val="063C6856"/>
    <w:rsid w:val="063EA11F"/>
    <w:rsid w:val="064E8914"/>
    <w:rsid w:val="065617DE"/>
    <w:rsid w:val="065A9342"/>
    <w:rsid w:val="066179A8"/>
    <w:rsid w:val="0671A346"/>
    <w:rsid w:val="067FB2E3"/>
    <w:rsid w:val="0687CDA7"/>
    <w:rsid w:val="069C5460"/>
    <w:rsid w:val="06B3B100"/>
    <w:rsid w:val="06B8BDEE"/>
    <w:rsid w:val="06C2D94C"/>
    <w:rsid w:val="06D5F2FB"/>
    <w:rsid w:val="06D992F4"/>
    <w:rsid w:val="06EF4E94"/>
    <w:rsid w:val="06FDAB3F"/>
    <w:rsid w:val="06FE9844"/>
    <w:rsid w:val="07034895"/>
    <w:rsid w:val="070916A3"/>
    <w:rsid w:val="070E140B"/>
    <w:rsid w:val="070FD400"/>
    <w:rsid w:val="07183368"/>
    <w:rsid w:val="0718DA8B"/>
    <w:rsid w:val="072013E6"/>
    <w:rsid w:val="072BC590"/>
    <w:rsid w:val="073E1FF6"/>
    <w:rsid w:val="0745696B"/>
    <w:rsid w:val="076B7D22"/>
    <w:rsid w:val="0780FDE6"/>
    <w:rsid w:val="0781E8DF"/>
    <w:rsid w:val="0782482D"/>
    <w:rsid w:val="07871101"/>
    <w:rsid w:val="078A8730"/>
    <w:rsid w:val="07AC81D3"/>
    <w:rsid w:val="07BCDEF8"/>
    <w:rsid w:val="07C44D44"/>
    <w:rsid w:val="07D2BDBC"/>
    <w:rsid w:val="07E3D732"/>
    <w:rsid w:val="07E60C5A"/>
    <w:rsid w:val="07EFB643"/>
    <w:rsid w:val="07F63F8C"/>
    <w:rsid w:val="07F7C5AB"/>
    <w:rsid w:val="07F8276D"/>
    <w:rsid w:val="07F91EAC"/>
    <w:rsid w:val="07FA4D0A"/>
    <w:rsid w:val="07FC22C8"/>
    <w:rsid w:val="0801EC6F"/>
    <w:rsid w:val="080BA7C5"/>
    <w:rsid w:val="081508A9"/>
    <w:rsid w:val="08207C7A"/>
    <w:rsid w:val="08275DE2"/>
    <w:rsid w:val="0836BFCF"/>
    <w:rsid w:val="0839C58E"/>
    <w:rsid w:val="083ECCF5"/>
    <w:rsid w:val="0842297F"/>
    <w:rsid w:val="0846EB10"/>
    <w:rsid w:val="08489838"/>
    <w:rsid w:val="085C000B"/>
    <w:rsid w:val="08606765"/>
    <w:rsid w:val="08646DEA"/>
    <w:rsid w:val="0866608D"/>
    <w:rsid w:val="0869C835"/>
    <w:rsid w:val="086DEC78"/>
    <w:rsid w:val="087353DA"/>
    <w:rsid w:val="08762F6E"/>
    <w:rsid w:val="087A5468"/>
    <w:rsid w:val="087B5350"/>
    <w:rsid w:val="088500CE"/>
    <w:rsid w:val="0887D1DC"/>
    <w:rsid w:val="08942791"/>
    <w:rsid w:val="08975CA9"/>
    <w:rsid w:val="089C0872"/>
    <w:rsid w:val="089FAA87"/>
    <w:rsid w:val="08A1F3F6"/>
    <w:rsid w:val="08A54F09"/>
    <w:rsid w:val="08BFB548"/>
    <w:rsid w:val="08C5F913"/>
    <w:rsid w:val="08C82C04"/>
    <w:rsid w:val="08C875D2"/>
    <w:rsid w:val="08E16732"/>
    <w:rsid w:val="08E4130E"/>
    <w:rsid w:val="090F29BF"/>
    <w:rsid w:val="0910D3E7"/>
    <w:rsid w:val="09127665"/>
    <w:rsid w:val="0912DEE2"/>
    <w:rsid w:val="09169D0B"/>
    <w:rsid w:val="091EAD72"/>
    <w:rsid w:val="09210AFA"/>
    <w:rsid w:val="092135F0"/>
    <w:rsid w:val="0928B530"/>
    <w:rsid w:val="09371242"/>
    <w:rsid w:val="0938546B"/>
    <w:rsid w:val="093BD2D6"/>
    <w:rsid w:val="093F6B02"/>
    <w:rsid w:val="09433E6A"/>
    <w:rsid w:val="0951AFDF"/>
    <w:rsid w:val="095779C2"/>
    <w:rsid w:val="097EDB35"/>
    <w:rsid w:val="098BDFEF"/>
    <w:rsid w:val="09A62727"/>
    <w:rsid w:val="09AB120D"/>
    <w:rsid w:val="09AC1A96"/>
    <w:rsid w:val="09AE483D"/>
    <w:rsid w:val="09B1D35E"/>
    <w:rsid w:val="09B5B6C9"/>
    <w:rsid w:val="09B89012"/>
    <w:rsid w:val="09BF5B27"/>
    <w:rsid w:val="09CD674B"/>
    <w:rsid w:val="09D6A6E6"/>
    <w:rsid w:val="09D87302"/>
    <w:rsid w:val="0A1E45BA"/>
    <w:rsid w:val="0A216ABA"/>
    <w:rsid w:val="0A296E6B"/>
    <w:rsid w:val="0A298251"/>
    <w:rsid w:val="0A3744A5"/>
    <w:rsid w:val="0A3DEFFD"/>
    <w:rsid w:val="0A686F3C"/>
    <w:rsid w:val="0A6CA662"/>
    <w:rsid w:val="0A6E5509"/>
    <w:rsid w:val="0A828F1D"/>
    <w:rsid w:val="0A83FA97"/>
    <w:rsid w:val="0A92BE6B"/>
    <w:rsid w:val="0A9548F3"/>
    <w:rsid w:val="0A9F770C"/>
    <w:rsid w:val="0AA0F951"/>
    <w:rsid w:val="0AA3FC31"/>
    <w:rsid w:val="0AB6615C"/>
    <w:rsid w:val="0ABFCF7D"/>
    <w:rsid w:val="0AD139B6"/>
    <w:rsid w:val="0AD755ED"/>
    <w:rsid w:val="0ADAE8A0"/>
    <w:rsid w:val="0AE06E1A"/>
    <w:rsid w:val="0AEA4DC3"/>
    <w:rsid w:val="0AEFDA83"/>
    <w:rsid w:val="0AF938B4"/>
    <w:rsid w:val="0B2C3985"/>
    <w:rsid w:val="0B34988A"/>
    <w:rsid w:val="0B3F03E5"/>
    <w:rsid w:val="0B42D133"/>
    <w:rsid w:val="0B4FA6FB"/>
    <w:rsid w:val="0B53AF01"/>
    <w:rsid w:val="0B59966D"/>
    <w:rsid w:val="0B6DE045"/>
    <w:rsid w:val="0B7EE8B5"/>
    <w:rsid w:val="0B8091F7"/>
    <w:rsid w:val="0B89E003"/>
    <w:rsid w:val="0B8A554D"/>
    <w:rsid w:val="0B96286D"/>
    <w:rsid w:val="0BA4A68E"/>
    <w:rsid w:val="0BA5B6FA"/>
    <w:rsid w:val="0BBA6D90"/>
    <w:rsid w:val="0BBB2936"/>
    <w:rsid w:val="0BC39C1E"/>
    <w:rsid w:val="0BC3A138"/>
    <w:rsid w:val="0BC6CBF8"/>
    <w:rsid w:val="0BD50DDB"/>
    <w:rsid w:val="0BED16F4"/>
    <w:rsid w:val="0BF049DE"/>
    <w:rsid w:val="0BF51CF5"/>
    <w:rsid w:val="0BFE56DC"/>
    <w:rsid w:val="0C0059DF"/>
    <w:rsid w:val="0C281208"/>
    <w:rsid w:val="0C34563D"/>
    <w:rsid w:val="0C42A882"/>
    <w:rsid w:val="0C4E7433"/>
    <w:rsid w:val="0C55EC64"/>
    <w:rsid w:val="0C5F2D10"/>
    <w:rsid w:val="0C640404"/>
    <w:rsid w:val="0C6B3A8A"/>
    <w:rsid w:val="0CAE5F58"/>
    <w:rsid w:val="0CAF214F"/>
    <w:rsid w:val="0CB34BF1"/>
    <w:rsid w:val="0CB3F2BB"/>
    <w:rsid w:val="0CCB5536"/>
    <w:rsid w:val="0CCBA49F"/>
    <w:rsid w:val="0CCE5127"/>
    <w:rsid w:val="0CDEBAB2"/>
    <w:rsid w:val="0CEB50A1"/>
    <w:rsid w:val="0CEBA06C"/>
    <w:rsid w:val="0CF9DC1C"/>
    <w:rsid w:val="0CFC5655"/>
    <w:rsid w:val="0CFE1355"/>
    <w:rsid w:val="0D21DD36"/>
    <w:rsid w:val="0D295814"/>
    <w:rsid w:val="0D2DC92A"/>
    <w:rsid w:val="0D32DF36"/>
    <w:rsid w:val="0D3430D8"/>
    <w:rsid w:val="0D3B2E57"/>
    <w:rsid w:val="0D3CB425"/>
    <w:rsid w:val="0D47019B"/>
    <w:rsid w:val="0D5E0AD1"/>
    <w:rsid w:val="0D5F26E0"/>
    <w:rsid w:val="0D60202E"/>
    <w:rsid w:val="0D64E6AC"/>
    <w:rsid w:val="0D65162F"/>
    <w:rsid w:val="0D8799EC"/>
    <w:rsid w:val="0D8CB02B"/>
    <w:rsid w:val="0DB5FC98"/>
    <w:rsid w:val="0DB7850E"/>
    <w:rsid w:val="0DBEEF10"/>
    <w:rsid w:val="0DCA3276"/>
    <w:rsid w:val="0DCC60F7"/>
    <w:rsid w:val="0DCFC44D"/>
    <w:rsid w:val="0DE58060"/>
    <w:rsid w:val="0DE671D4"/>
    <w:rsid w:val="0DF2EE64"/>
    <w:rsid w:val="0DFAC863"/>
    <w:rsid w:val="0DFD7704"/>
    <w:rsid w:val="0E15DC16"/>
    <w:rsid w:val="0E23F069"/>
    <w:rsid w:val="0E247115"/>
    <w:rsid w:val="0E2A320F"/>
    <w:rsid w:val="0E33996E"/>
    <w:rsid w:val="0E37F543"/>
    <w:rsid w:val="0E39C1EB"/>
    <w:rsid w:val="0E3C542A"/>
    <w:rsid w:val="0E436E98"/>
    <w:rsid w:val="0E5B981E"/>
    <w:rsid w:val="0E63BA69"/>
    <w:rsid w:val="0E6CA633"/>
    <w:rsid w:val="0E8206A7"/>
    <w:rsid w:val="0E8260A3"/>
    <w:rsid w:val="0E947205"/>
    <w:rsid w:val="0EB4E2D0"/>
    <w:rsid w:val="0EC0FF2E"/>
    <w:rsid w:val="0ED098A6"/>
    <w:rsid w:val="0EFFA630"/>
    <w:rsid w:val="0F00BE18"/>
    <w:rsid w:val="0F011228"/>
    <w:rsid w:val="0F06416A"/>
    <w:rsid w:val="0F1F0B53"/>
    <w:rsid w:val="0F3FF16A"/>
    <w:rsid w:val="0F41741D"/>
    <w:rsid w:val="0F4384E2"/>
    <w:rsid w:val="0F44D652"/>
    <w:rsid w:val="0F46ED02"/>
    <w:rsid w:val="0F50B819"/>
    <w:rsid w:val="0F5111D7"/>
    <w:rsid w:val="0F727981"/>
    <w:rsid w:val="0F7BF1C6"/>
    <w:rsid w:val="0F826DDB"/>
    <w:rsid w:val="0F84D565"/>
    <w:rsid w:val="0F85788F"/>
    <w:rsid w:val="0F87BEE9"/>
    <w:rsid w:val="0F9A0E58"/>
    <w:rsid w:val="0F9D739B"/>
    <w:rsid w:val="0FAC74B0"/>
    <w:rsid w:val="0FAD1115"/>
    <w:rsid w:val="0FB1CD9B"/>
    <w:rsid w:val="0FB6D41C"/>
    <w:rsid w:val="0FBA9EAB"/>
    <w:rsid w:val="0FCC0E4F"/>
    <w:rsid w:val="0FD3CF2A"/>
    <w:rsid w:val="0FD9A98A"/>
    <w:rsid w:val="0FE5895A"/>
    <w:rsid w:val="0FE9B791"/>
    <w:rsid w:val="0FFA7265"/>
    <w:rsid w:val="100A83A9"/>
    <w:rsid w:val="100EFE15"/>
    <w:rsid w:val="101170AF"/>
    <w:rsid w:val="101F1CF0"/>
    <w:rsid w:val="102D0E1B"/>
    <w:rsid w:val="1034F653"/>
    <w:rsid w:val="103DBD85"/>
    <w:rsid w:val="105149CE"/>
    <w:rsid w:val="10708EB6"/>
    <w:rsid w:val="1071094E"/>
    <w:rsid w:val="10716BF6"/>
    <w:rsid w:val="10A8653A"/>
    <w:rsid w:val="10B117BC"/>
    <w:rsid w:val="10BEBD17"/>
    <w:rsid w:val="10D06C21"/>
    <w:rsid w:val="10ECA7B7"/>
    <w:rsid w:val="10FB30DA"/>
    <w:rsid w:val="10FE7C78"/>
    <w:rsid w:val="1123C3D3"/>
    <w:rsid w:val="1132A975"/>
    <w:rsid w:val="11384757"/>
    <w:rsid w:val="113C8240"/>
    <w:rsid w:val="113EBDF6"/>
    <w:rsid w:val="115AABA1"/>
    <w:rsid w:val="117C5ED0"/>
    <w:rsid w:val="11ABBAB4"/>
    <w:rsid w:val="11B069A5"/>
    <w:rsid w:val="11BB4446"/>
    <w:rsid w:val="11BE0942"/>
    <w:rsid w:val="11C58056"/>
    <w:rsid w:val="11D48BA4"/>
    <w:rsid w:val="11D4C7A7"/>
    <w:rsid w:val="11F5BA07"/>
    <w:rsid w:val="11F83A4B"/>
    <w:rsid w:val="12037688"/>
    <w:rsid w:val="1208927D"/>
    <w:rsid w:val="12167183"/>
    <w:rsid w:val="1220C599"/>
    <w:rsid w:val="122AFCD2"/>
    <w:rsid w:val="123055E2"/>
    <w:rsid w:val="12376F68"/>
    <w:rsid w:val="12477762"/>
    <w:rsid w:val="1248128E"/>
    <w:rsid w:val="1252CD16"/>
    <w:rsid w:val="125415F2"/>
    <w:rsid w:val="127C2FF5"/>
    <w:rsid w:val="127F6010"/>
    <w:rsid w:val="1280CDE8"/>
    <w:rsid w:val="128B7431"/>
    <w:rsid w:val="12A5A65B"/>
    <w:rsid w:val="12AD57FB"/>
    <w:rsid w:val="12AE290B"/>
    <w:rsid w:val="12B856FF"/>
    <w:rsid w:val="12C57AB3"/>
    <w:rsid w:val="12C9D57C"/>
    <w:rsid w:val="12CB8961"/>
    <w:rsid w:val="12E03B4B"/>
    <w:rsid w:val="12E07523"/>
    <w:rsid w:val="12F119A3"/>
    <w:rsid w:val="12F64F82"/>
    <w:rsid w:val="1305485B"/>
    <w:rsid w:val="1307617C"/>
    <w:rsid w:val="130C5CB0"/>
    <w:rsid w:val="1316928D"/>
    <w:rsid w:val="13303753"/>
    <w:rsid w:val="1335C5B5"/>
    <w:rsid w:val="13424657"/>
    <w:rsid w:val="1343A491"/>
    <w:rsid w:val="134ED531"/>
    <w:rsid w:val="13511E89"/>
    <w:rsid w:val="13613758"/>
    <w:rsid w:val="1367AE86"/>
    <w:rsid w:val="136A94D5"/>
    <w:rsid w:val="136FF0B7"/>
    <w:rsid w:val="1376F159"/>
    <w:rsid w:val="1385DE5E"/>
    <w:rsid w:val="13980BCF"/>
    <w:rsid w:val="13A0E856"/>
    <w:rsid w:val="13A6FA28"/>
    <w:rsid w:val="13B62C92"/>
    <w:rsid w:val="13B799B5"/>
    <w:rsid w:val="13BE06BA"/>
    <w:rsid w:val="13CD0F8D"/>
    <w:rsid w:val="13D07880"/>
    <w:rsid w:val="13EA7900"/>
    <w:rsid w:val="13EDFABA"/>
    <w:rsid w:val="13EE958F"/>
    <w:rsid w:val="13FA304D"/>
    <w:rsid w:val="1409A1FE"/>
    <w:rsid w:val="140C363C"/>
    <w:rsid w:val="140C9A6C"/>
    <w:rsid w:val="141829B3"/>
    <w:rsid w:val="142EF83A"/>
    <w:rsid w:val="1434D5AF"/>
    <w:rsid w:val="14354AD9"/>
    <w:rsid w:val="14445204"/>
    <w:rsid w:val="1445C016"/>
    <w:rsid w:val="1446E285"/>
    <w:rsid w:val="14480994"/>
    <w:rsid w:val="145ABF79"/>
    <w:rsid w:val="146F6198"/>
    <w:rsid w:val="1486BD8A"/>
    <w:rsid w:val="149E838F"/>
    <w:rsid w:val="14A622D4"/>
    <w:rsid w:val="14B20D9F"/>
    <w:rsid w:val="14BA984A"/>
    <w:rsid w:val="14BF9089"/>
    <w:rsid w:val="14BF995E"/>
    <w:rsid w:val="14C6FC92"/>
    <w:rsid w:val="14C97BBF"/>
    <w:rsid w:val="14D93912"/>
    <w:rsid w:val="14E1E0DC"/>
    <w:rsid w:val="14EFC89D"/>
    <w:rsid w:val="14F21169"/>
    <w:rsid w:val="14F67C13"/>
    <w:rsid w:val="14FECDB8"/>
    <w:rsid w:val="14FF62F2"/>
    <w:rsid w:val="15144737"/>
    <w:rsid w:val="1516A630"/>
    <w:rsid w:val="15172BD8"/>
    <w:rsid w:val="151C6825"/>
    <w:rsid w:val="151E84F8"/>
    <w:rsid w:val="1521CDFB"/>
    <w:rsid w:val="15233FD8"/>
    <w:rsid w:val="1524B22C"/>
    <w:rsid w:val="152AA161"/>
    <w:rsid w:val="152AA8F7"/>
    <w:rsid w:val="1534D4BB"/>
    <w:rsid w:val="153D3DD6"/>
    <w:rsid w:val="15463D90"/>
    <w:rsid w:val="15472DED"/>
    <w:rsid w:val="1552BD9F"/>
    <w:rsid w:val="155F56AD"/>
    <w:rsid w:val="1583B031"/>
    <w:rsid w:val="158C8147"/>
    <w:rsid w:val="15A5D713"/>
    <w:rsid w:val="15A6779E"/>
    <w:rsid w:val="15AA5873"/>
    <w:rsid w:val="15B40847"/>
    <w:rsid w:val="15C02A26"/>
    <w:rsid w:val="15C3472A"/>
    <w:rsid w:val="15ECB34E"/>
    <w:rsid w:val="15F692E7"/>
    <w:rsid w:val="15FF1FEA"/>
    <w:rsid w:val="15FF8EC3"/>
    <w:rsid w:val="16006FA0"/>
    <w:rsid w:val="1615E061"/>
    <w:rsid w:val="161A7E95"/>
    <w:rsid w:val="161CE2E5"/>
    <w:rsid w:val="162BB384"/>
    <w:rsid w:val="16472EE9"/>
    <w:rsid w:val="1652A20A"/>
    <w:rsid w:val="1653774A"/>
    <w:rsid w:val="1657BEEB"/>
    <w:rsid w:val="165BC288"/>
    <w:rsid w:val="1673F736"/>
    <w:rsid w:val="16758287"/>
    <w:rsid w:val="1680E956"/>
    <w:rsid w:val="168C299D"/>
    <w:rsid w:val="168F5094"/>
    <w:rsid w:val="16A69D10"/>
    <w:rsid w:val="16AC83DD"/>
    <w:rsid w:val="16C53770"/>
    <w:rsid w:val="16CB3948"/>
    <w:rsid w:val="16D57068"/>
    <w:rsid w:val="16DF6E80"/>
    <w:rsid w:val="16E78795"/>
    <w:rsid w:val="16FC60E6"/>
    <w:rsid w:val="16FF297A"/>
    <w:rsid w:val="16FF4245"/>
    <w:rsid w:val="170549AD"/>
    <w:rsid w:val="170831D9"/>
    <w:rsid w:val="1712AFEB"/>
    <w:rsid w:val="171325A8"/>
    <w:rsid w:val="17145A96"/>
    <w:rsid w:val="1715D414"/>
    <w:rsid w:val="1719151F"/>
    <w:rsid w:val="171A95E1"/>
    <w:rsid w:val="171F8A68"/>
    <w:rsid w:val="1722C566"/>
    <w:rsid w:val="1737D8E8"/>
    <w:rsid w:val="173A2FBC"/>
    <w:rsid w:val="174D4BEA"/>
    <w:rsid w:val="1758400A"/>
    <w:rsid w:val="1760FC10"/>
    <w:rsid w:val="1764CA20"/>
    <w:rsid w:val="176DCE8B"/>
    <w:rsid w:val="176E449A"/>
    <w:rsid w:val="1770B6C4"/>
    <w:rsid w:val="1797D8FB"/>
    <w:rsid w:val="179909A8"/>
    <w:rsid w:val="179B2EDD"/>
    <w:rsid w:val="17A39804"/>
    <w:rsid w:val="17A83413"/>
    <w:rsid w:val="17A8ECC7"/>
    <w:rsid w:val="17AC54FA"/>
    <w:rsid w:val="17AD002C"/>
    <w:rsid w:val="17B91AA1"/>
    <w:rsid w:val="17B970AF"/>
    <w:rsid w:val="17D65FB2"/>
    <w:rsid w:val="17DBCE49"/>
    <w:rsid w:val="17FAE7C4"/>
    <w:rsid w:val="1801FC16"/>
    <w:rsid w:val="180666FB"/>
    <w:rsid w:val="18086AEB"/>
    <w:rsid w:val="18091AD7"/>
    <w:rsid w:val="180C1A75"/>
    <w:rsid w:val="181019F1"/>
    <w:rsid w:val="18187BE0"/>
    <w:rsid w:val="18217A12"/>
    <w:rsid w:val="182EB34D"/>
    <w:rsid w:val="183B3AC5"/>
    <w:rsid w:val="18476E4B"/>
    <w:rsid w:val="1849CCFE"/>
    <w:rsid w:val="1859C168"/>
    <w:rsid w:val="185A929A"/>
    <w:rsid w:val="18661DE3"/>
    <w:rsid w:val="1868F422"/>
    <w:rsid w:val="186ABDEC"/>
    <w:rsid w:val="1874830A"/>
    <w:rsid w:val="18A0F9F8"/>
    <w:rsid w:val="18A48B22"/>
    <w:rsid w:val="18AEEC5A"/>
    <w:rsid w:val="18B13D0F"/>
    <w:rsid w:val="18BAEB9C"/>
    <w:rsid w:val="18BC37CB"/>
    <w:rsid w:val="18C08715"/>
    <w:rsid w:val="18C116DB"/>
    <w:rsid w:val="18C60B62"/>
    <w:rsid w:val="18ECAD5D"/>
    <w:rsid w:val="18ECDEDD"/>
    <w:rsid w:val="191A4E70"/>
    <w:rsid w:val="19238324"/>
    <w:rsid w:val="1926FFAB"/>
    <w:rsid w:val="1927B760"/>
    <w:rsid w:val="19284119"/>
    <w:rsid w:val="192D7464"/>
    <w:rsid w:val="192E5EAC"/>
    <w:rsid w:val="195289C5"/>
    <w:rsid w:val="1957DBE6"/>
    <w:rsid w:val="19617A53"/>
    <w:rsid w:val="196224DF"/>
    <w:rsid w:val="1963EF05"/>
    <w:rsid w:val="196590B7"/>
    <w:rsid w:val="1984F085"/>
    <w:rsid w:val="19889F04"/>
    <w:rsid w:val="198E0CD4"/>
    <w:rsid w:val="199688B8"/>
    <w:rsid w:val="199959E0"/>
    <w:rsid w:val="19999459"/>
    <w:rsid w:val="19A0E5B3"/>
    <w:rsid w:val="19C244D8"/>
    <w:rsid w:val="19C4CFF6"/>
    <w:rsid w:val="19C56F43"/>
    <w:rsid w:val="19D10187"/>
    <w:rsid w:val="19DBC484"/>
    <w:rsid w:val="19FB710F"/>
    <w:rsid w:val="1A00A0DB"/>
    <w:rsid w:val="1A123228"/>
    <w:rsid w:val="1A184604"/>
    <w:rsid w:val="1A2C9D31"/>
    <w:rsid w:val="1A2F6B7D"/>
    <w:rsid w:val="1A3E7185"/>
    <w:rsid w:val="1A3FFE6F"/>
    <w:rsid w:val="1A406B8C"/>
    <w:rsid w:val="1A42F19E"/>
    <w:rsid w:val="1A4B1319"/>
    <w:rsid w:val="1A4CE06B"/>
    <w:rsid w:val="1A53DA65"/>
    <w:rsid w:val="1A59CD5C"/>
    <w:rsid w:val="1A5D2AFA"/>
    <w:rsid w:val="1A6023F7"/>
    <w:rsid w:val="1A7D733B"/>
    <w:rsid w:val="1A9B9B59"/>
    <w:rsid w:val="1AB48823"/>
    <w:rsid w:val="1AB57E71"/>
    <w:rsid w:val="1AB7FAB0"/>
    <w:rsid w:val="1AC2711E"/>
    <w:rsid w:val="1AC56E62"/>
    <w:rsid w:val="1ACF3B9B"/>
    <w:rsid w:val="1AD676AC"/>
    <w:rsid w:val="1AD6866C"/>
    <w:rsid w:val="1ADE711E"/>
    <w:rsid w:val="1AE9FD07"/>
    <w:rsid w:val="1AEEDA85"/>
    <w:rsid w:val="1AF7BC15"/>
    <w:rsid w:val="1B004B3A"/>
    <w:rsid w:val="1B0B7663"/>
    <w:rsid w:val="1B2A289F"/>
    <w:rsid w:val="1B351532"/>
    <w:rsid w:val="1B35C6C9"/>
    <w:rsid w:val="1B3A45A1"/>
    <w:rsid w:val="1B4E5AA4"/>
    <w:rsid w:val="1B85304C"/>
    <w:rsid w:val="1B877FBD"/>
    <w:rsid w:val="1B8BD825"/>
    <w:rsid w:val="1B8C5403"/>
    <w:rsid w:val="1B925A18"/>
    <w:rsid w:val="1B99F373"/>
    <w:rsid w:val="1BA4F886"/>
    <w:rsid w:val="1BB15A01"/>
    <w:rsid w:val="1BB6E2B7"/>
    <w:rsid w:val="1BB75977"/>
    <w:rsid w:val="1BC0012B"/>
    <w:rsid w:val="1BC6FCB5"/>
    <w:rsid w:val="1BC820AB"/>
    <w:rsid w:val="1BCF35A8"/>
    <w:rsid w:val="1BD18804"/>
    <w:rsid w:val="1BDACF68"/>
    <w:rsid w:val="1BF322B0"/>
    <w:rsid w:val="1BFD9FFF"/>
    <w:rsid w:val="1BFED4BA"/>
    <w:rsid w:val="1C0052DA"/>
    <w:rsid w:val="1C02614F"/>
    <w:rsid w:val="1C1DC1F0"/>
    <w:rsid w:val="1C1DC88E"/>
    <w:rsid w:val="1C234FE4"/>
    <w:rsid w:val="1C294017"/>
    <w:rsid w:val="1C2A9595"/>
    <w:rsid w:val="1C3450A0"/>
    <w:rsid w:val="1C41E9C3"/>
    <w:rsid w:val="1C511CD4"/>
    <w:rsid w:val="1C59F6C0"/>
    <w:rsid w:val="1C6282E5"/>
    <w:rsid w:val="1C748D36"/>
    <w:rsid w:val="1C78CF4B"/>
    <w:rsid w:val="1C805166"/>
    <w:rsid w:val="1C833A97"/>
    <w:rsid w:val="1C90A389"/>
    <w:rsid w:val="1CA46A3A"/>
    <w:rsid w:val="1CD02428"/>
    <w:rsid w:val="1CD2F80C"/>
    <w:rsid w:val="1CE0EFF5"/>
    <w:rsid w:val="1CE8FB31"/>
    <w:rsid w:val="1CF3F3A3"/>
    <w:rsid w:val="1D0F16B4"/>
    <w:rsid w:val="1D128175"/>
    <w:rsid w:val="1D168CE8"/>
    <w:rsid w:val="1D1E7E56"/>
    <w:rsid w:val="1D2208C6"/>
    <w:rsid w:val="1D25E709"/>
    <w:rsid w:val="1D4DD88D"/>
    <w:rsid w:val="1D5B7DA0"/>
    <w:rsid w:val="1D5E4C15"/>
    <w:rsid w:val="1D65AF0F"/>
    <w:rsid w:val="1D726EF8"/>
    <w:rsid w:val="1D80E11F"/>
    <w:rsid w:val="1D8B395B"/>
    <w:rsid w:val="1D8BAFE7"/>
    <w:rsid w:val="1D8D7E8D"/>
    <w:rsid w:val="1D9E2077"/>
    <w:rsid w:val="1DA87682"/>
    <w:rsid w:val="1DA8EC4F"/>
    <w:rsid w:val="1DBC0FC9"/>
    <w:rsid w:val="1DBC98DF"/>
    <w:rsid w:val="1DBEBAC9"/>
    <w:rsid w:val="1DC0421E"/>
    <w:rsid w:val="1DC420D9"/>
    <w:rsid w:val="1DC66927"/>
    <w:rsid w:val="1DD03489"/>
    <w:rsid w:val="1DD16B1C"/>
    <w:rsid w:val="1DD3B277"/>
    <w:rsid w:val="1DDCBD39"/>
    <w:rsid w:val="1DE14BF7"/>
    <w:rsid w:val="1DEB8537"/>
    <w:rsid w:val="1DEE183B"/>
    <w:rsid w:val="1DEEBAE9"/>
    <w:rsid w:val="1DF4FE05"/>
    <w:rsid w:val="1DFC39CF"/>
    <w:rsid w:val="1E029585"/>
    <w:rsid w:val="1E062991"/>
    <w:rsid w:val="1E0E9D64"/>
    <w:rsid w:val="1E0F3005"/>
    <w:rsid w:val="1E111983"/>
    <w:rsid w:val="1E139D96"/>
    <w:rsid w:val="1E1DAB8B"/>
    <w:rsid w:val="1E298A93"/>
    <w:rsid w:val="1E29C80A"/>
    <w:rsid w:val="1E2CCED9"/>
    <w:rsid w:val="1E34EB8B"/>
    <w:rsid w:val="1E3C1288"/>
    <w:rsid w:val="1E4B13EF"/>
    <w:rsid w:val="1E5470EB"/>
    <w:rsid w:val="1E58F4E9"/>
    <w:rsid w:val="1E5CF3F6"/>
    <w:rsid w:val="1E5D6727"/>
    <w:rsid w:val="1E64E7F1"/>
    <w:rsid w:val="1E6C2870"/>
    <w:rsid w:val="1E6DDD1F"/>
    <w:rsid w:val="1E7BBDB8"/>
    <w:rsid w:val="1E7F5DF6"/>
    <w:rsid w:val="1E8BBBB5"/>
    <w:rsid w:val="1E8F70FF"/>
    <w:rsid w:val="1E938CB2"/>
    <w:rsid w:val="1EA1DF39"/>
    <w:rsid w:val="1EA7E4AC"/>
    <w:rsid w:val="1EBF7E8E"/>
    <w:rsid w:val="1EC0ED2E"/>
    <w:rsid w:val="1EE45FC7"/>
    <w:rsid w:val="1EEA0A11"/>
    <w:rsid w:val="1EEBA500"/>
    <w:rsid w:val="1EEE6C4F"/>
    <w:rsid w:val="1EF0D9C2"/>
    <w:rsid w:val="1EFEB3CD"/>
    <w:rsid w:val="1F00BFD8"/>
    <w:rsid w:val="1F2726F3"/>
    <w:rsid w:val="1F30A679"/>
    <w:rsid w:val="1F343240"/>
    <w:rsid w:val="1F4D2BDE"/>
    <w:rsid w:val="1F58DD4D"/>
    <w:rsid w:val="1F6DC976"/>
    <w:rsid w:val="1F7DECBC"/>
    <w:rsid w:val="1F7E0114"/>
    <w:rsid w:val="1F92B4E6"/>
    <w:rsid w:val="1FA3C917"/>
    <w:rsid w:val="1FBE35CE"/>
    <w:rsid w:val="1FC25188"/>
    <w:rsid w:val="1FC47691"/>
    <w:rsid w:val="1FD258ED"/>
    <w:rsid w:val="1FD3EBE8"/>
    <w:rsid w:val="1FDC953C"/>
    <w:rsid w:val="1FDE5B03"/>
    <w:rsid w:val="1FEF10AC"/>
    <w:rsid w:val="1FF9051E"/>
    <w:rsid w:val="1FFA06AD"/>
    <w:rsid w:val="2009DAD6"/>
    <w:rsid w:val="20237381"/>
    <w:rsid w:val="202ACB8A"/>
    <w:rsid w:val="202D82D2"/>
    <w:rsid w:val="20327C92"/>
    <w:rsid w:val="20418771"/>
    <w:rsid w:val="2045F366"/>
    <w:rsid w:val="204FDEA6"/>
    <w:rsid w:val="20537F93"/>
    <w:rsid w:val="2059C781"/>
    <w:rsid w:val="205F5470"/>
    <w:rsid w:val="206DFB36"/>
    <w:rsid w:val="2077E2CE"/>
    <w:rsid w:val="207813AD"/>
    <w:rsid w:val="20793638"/>
    <w:rsid w:val="207AD800"/>
    <w:rsid w:val="2083A6E1"/>
    <w:rsid w:val="20908754"/>
    <w:rsid w:val="2094647A"/>
    <w:rsid w:val="2094E24D"/>
    <w:rsid w:val="209AAE1D"/>
    <w:rsid w:val="209E8F0C"/>
    <w:rsid w:val="20B5B63B"/>
    <w:rsid w:val="20B7BFAA"/>
    <w:rsid w:val="20CCB273"/>
    <w:rsid w:val="20E3BB45"/>
    <w:rsid w:val="20EC2E7E"/>
    <w:rsid w:val="20F46424"/>
    <w:rsid w:val="20F6BB32"/>
    <w:rsid w:val="20FDED4D"/>
    <w:rsid w:val="20FDFC0C"/>
    <w:rsid w:val="2102BEA1"/>
    <w:rsid w:val="2118BFED"/>
    <w:rsid w:val="212DA61C"/>
    <w:rsid w:val="212F5934"/>
    <w:rsid w:val="21314406"/>
    <w:rsid w:val="2149A825"/>
    <w:rsid w:val="21541E0D"/>
    <w:rsid w:val="215D20A7"/>
    <w:rsid w:val="215D2E5D"/>
    <w:rsid w:val="216F303E"/>
    <w:rsid w:val="21739E13"/>
    <w:rsid w:val="2178B406"/>
    <w:rsid w:val="217BBA8F"/>
    <w:rsid w:val="217DAFFD"/>
    <w:rsid w:val="218B3330"/>
    <w:rsid w:val="21ADF46E"/>
    <w:rsid w:val="21BE094F"/>
    <w:rsid w:val="21DDA7B7"/>
    <w:rsid w:val="21EA323D"/>
    <w:rsid w:val="21FB940F"/>
    <w:rsid w:val="2216C106"/>
    <w:rsid w:val="22305B5A"/>
    <w:rsid w:val="22509230"/>
    <w:rsid w:val="22530442"/>
    <w:rsid w:val="22552AFC"/>
    <w:rsid w:val="225C2FAF"/>
    <w:rsid w:val="2268BB20"/>
    <w:rsid w:val="2273350E"/>
    <w:rsid w:val="22770104"/>
    <w:rsid w:val="227B0522"/>
    <w:rsid w:val="22862939"/>
    <w:rsid w:val="2287587A"/>
    <w:rsid w:val="228844B8"/>
    <w:rsid w:val="22908090"/>
    <w:rsid w:val="229636C4"/>
    <w:rsid w:val="229636E1"/>
    <w:rsid w:val="229EBAC8"/>
    <w:rsid w:val="22A82222"/>
    <w:rsid w:val="22D1B0B8"/>
    <w:rsid w:val="22D251CF"/>
    <w:rsid w:val="22F24E7B"/>
    <w:rsid w:val="22FF1A24"/>
    <w:rsid w:val="230126CD"/>
    <w:rsid w:val="230335A1"/>
    <w:rsid w:val="2314335E"/>
    <w:rsid w:val="231E031D"/>
    <w:rsid w:val="232458B0"/>
    <w:rsid w:val="233A3125"/>
    <w:rsid w:val="233E5F77"/>
    <w:rsid w:val="23413776"/>
    <w:rsid w:val="235FED6A"/>
    <w:rsid w:val="23619385"/>
    <w:rsid w:val="236A313D"/>
    <w:rsid w:val="237A7AF5"/>
    <w:rsid w:val="237D807D"/>
    <w:rsid w:val="2394F51B"/>
    <w:rsid w:val="23BD4109"/>
    <w:rsid w:val="23C259CB"/>
    <w:rsid w:val="23DDF7DF"/>
    <w:rsid w:val="23DF448C"/>
    <w:rsid w:val="23E3C349"/>
    <w:rsid w:val="23E5ED14"/>
    <w:rsid w:val="23EAB82E"/>
    <w:rsid w:val="23EB6F4D"/>
    <w:rsid w:val="23EC3536"/>
    <w:rsid w:val="23F02A62"/>
    <w:rsid w:val="23F14D32"/>
    <w:rsid w:val="23F8AD29"/>
    <w:rsid w:val="24000D3D"/>
    <w:rsid w:val="24163F97"/>
    <w:rsid w:val="242B15C5"/>
    <w:rsid w:val="242C1586"/>
    <w:rsid w:val="243F0D8D"/>
    <w:rsid w:val="24476981"/>
    <w:rsid w:val="2457DA20"/>
    <w:rsid w:val="24581C50"/>
    <w:rsid w:val="24584AB0"/>
    <w:rsid w:val="2459C737"/>
    <w:rsid w:val="24689256"/>
    <w:rsid w:val="246A3EC9"/>
    <w:rsid w:val="246F6409"/>
    <w:rsid w:val="24715D24"/>
    <w:rsid w:val="24808494"/>
    <w:rsid w:val="24859395"/>
    <w:rsid w:val="24B45967"/>
    <w:rsid w:val="24D0B2FE"/>
    <w:rsid w:val="24F16B8D"/>
    <w:rsid w:val="24F3DD1D"/>
    <w:rsid w:val="25036CD0"/>
    <w:rsid w:val="251ABD7E"/>
    <w:rsid w:val="251BE3F0"/>
    <w:rsid w:val="25209EED"/>
    <w:rsid w:val="252108B3"/>
    <w:rsid w:val="2527A47A"/>
    <w:rsid w:val="2537E640"/>
    <w:rsid w:val="2540D4E6"/>
    <w:rsid w:val="254FA71D"/>
    <w:rsid w:val="256ABDE7"/>
    <w:rsid w:val="256AE573"/>
    <w:rsid w:val="256EAD7C"/>
    <w:rsid w:val="2571B0DF"/>
    <w:rsid w:val="25AC3083"/>
    <w:rsid w:val="25AD0038"/>
    <w:rsid w:val="25BE6C11"/>
    <w:rsid w:val="25D31EFF"/>
    <w:rsid w:val="25E834B2"/>
    <w:rsid w:val="25E99A16"/>
    <w:rsid w:val="25F00DFF"/>
    <w:rsid w:val="25F0D01B"/>
    <w:rsid w:val="25F16841"/>
    <w:rsid w:val="25F828CB"/>
    <w:rsid w:val="26066961"/>
    <w:rsid w:val="261DF2D4"/>
    <w:rsid w:val="26443C46"/>
    <w:rsid w:val="2644782E"/>
    <w:rsid w:val="265AA64F"/>
    <w:rsid w:val="265D98EE"/>
    <w:rsid w:val="26692143"/>
    <w:rsid w:val="26808D81"/>
    <w:rsid w:val="269D535B"/>
    <w:rsid w:val="269EEDB1"/>
    <w:rsid w:val="269FEBD4"/>
    <w:rsid w:val="26B29834"/>
    <w:rsid w:val="26B3B0DB"/>
    <w:rsid w:val="26D90954"/>
    <w:rsid w:val="26DDFFE6"/>
    <w:rsid w:val="26E076B6"/>
    <w:rsid w:val="26EC7E51"/>
    <w:rsid w:val="2703C661"/>
    <w:rsid w:val="270963AA"/>
    <w:rsid w:val="270C7491"/>
    <w:rsid w:val="27353AAA"/>
    <w:rsid w:val="2747D2B8"/>
    <w:rsid w:val="2764E37E"/>
    <w:rsid w:val="27733A38"/>
    <w:rsid w:val="277D8DF1"/>
    <w:rsid w:val="278E43DB"/>
    <w:rsid w:val="27A06C2F"/>
    <w:rsid w:val="27B9EC26"/>
    <w:rsid w:val="27BB1589"/>
    <w:rsid w:val="27C50A0E"/>
    <w:rsid w:val="27C660C8"/>
    <w:rsid w:val="27DBA14E"/>
    <w:rsid w:val="27DC2B07"/>
    <w:rsid w:val="27E16F52"/>
    <w:rsid w:val="28019C32"/>
    <w:rsid w:val="2808A3D9"/>
    <w:rsid w:val="28132042"/>
    <w:rsid w:val="2813CEB0"/>
    <w:rsid w:val="281CAAF9"/>
    <w:rsid w:val="281D16A4"/>
    <w:rsid w:val="281EC120"/>
    <w:rsid w:val="28263F5F"/>
    <w:rsid w:val="28285EEC"/>
    <w:rsid w:val="28305C19"/>
    <w:rsid w:val="283BDAB0"/>
    <w:rsid w:val="283C5907"/>
    <w:rsid w:val="283FC160"/>
    <w:rsid w:val="2852AC50"/>
    <w:rsid w:val="2858BCA9"/>
    <w:rsid w:val="286410D2"/>
    <w:rsid w:val="2867877A"/>
    <w:rsid w:val="2875FF5B"/>
    <w:rsid w:val="2879E787"/>
    <w:rsid w:val="2880266B"/>
    <w:rsid w:val="28829681"/>
    <w:rsid w:val="28936377"/>
    <w:rsid w:val="28996A4A"/>
    <w:rsid w:val="289BCD5D"/>
    <w:rsid w:val="289F6329"/>
    <w:rsid w:val="28A5F373"/>
    <w:rsid w:val="28B9D843"/>
    <w:rsid w:val="28C393C8"/>
    <w:rsid w:val="28CCDBE1"/>
    <w:rsid w:val="28D67F51"/>
    <w:rsid w:val="28D989BF"/>
    <w:rsid w:val="28E2E059"/>
    <w:rsid w:val="28E6A84D"/>
    <w:rsid w:val="28EB1415"/>
    <w:rsid w:val="28EDA52E"/>
    <w:rsid w:val="28F26124"/>
    <w:rsid w:val="28F276D5"/>
    <w:rsid w:val="28F455E3"/>
    <w:rsid w:val="28FD8B81"/>
    <w:rsid w:val="28FDDE44"/>
    <w:rsid w:val="28FE96E5"/>
    <w:rsid w:val="29032CFE"/>
    <w:rsid w:val="2908E8F1"/>
    <w:rsid w:val="29206CA0"/>
    <w:rsid w:val="2923E115"/>
    <w:rsid w:val="292DDD7A"/>
    <w:rsid w:val="2936B45D"/>
    <w:rsid w:val="293D8C3D"/>
    <w:rsid w:val="294FFB73"/>
    <w:rsid w:val="2955B063"/>
    <w:rsid w:val="29637B39"/>
    <w:rsid w:val="29643104"/>
    <w:rsid w:val="29651DA2"/>
    <w:rsid w:val="296C6FA8"/>
    <w:rsid w:val="296F03D7"/>
    <w:rsid w:val="2970D7F3"/>
    <w:rsid w:val="2989B567"/>
    <w:rsid w:val="299589D8"/>
    <w:rsid w:val="299839D3"/>
    <w:rsid w:val="29C3D4C4"/>
    <w:rsid w:val="29D0FF0B"/>
    <w:rsid w:val="29D3A98A"/>
    <w:rsid w:val="29D47A8B"/>
    <w:rsid w:val="29DBBC6B"/>
    <w:rsid w:val="29E185F1"/>
    <w:rsid w:val="29E4FCA1"/>
    <w:rsid w:val="29EA00A1"/>
    <w:rsid w:val="29F5BE09"/>
    <w:rsid w:val="29F8275E"/>
    <w:rsid w:val="29FB7275"/>
    <w:rsid w:val="29FF5A7B"/>
    <w:rsid w:val="2A064771"/>
    <w:rsid w:val="2A079D04"/>
    <w:rsid w:val="2A16948F"/>
    <w:rsid w:val="2A18BC24"/>
    <w:rsid w:val="2A199100"/>
    <w:rsid w:val="2A1A07A8"/>
    <w:rsid w:val="2A1D3DE1"/>
    <w:rsid w:val="2A224D1C"/>
    <w:rsid w:val="2A22F6F5"/>
    <w:rsid w:val="2A27C189"/>
    <w:rsid w:val="2A28BBEB"/>
    <w:rsid w:val="2A3C47D8"/>
    <w:rsid w:val="2A3D4890"/>
    <w:rsid w:val="2A438529"/>
    <w:rsid w:val="2A48B5F9"/>
    <w:rsid w:val="2A48EAC9"/>
    <w:rsid w:val="2A529605"/>
    <w:rsid w:val="2A5A35BD"/>
    <w:rsid w:val="2A67D7DA"/>
    <w:rsid w:val="2A7BB2C0"/>
    <w:rsid w:val="2A7C363F"/>
    <w:rsid w:val="2A841314"/>
    <w:rsid w:val="2A863436"/>
    <w:rsid w:val="2A91F445"/>
    <w:rsid w:val="2A988C1C"/>
    <w:rsid w:val="2AAADEAF"/>
    <w:rsid w:val="2ABD4C0C"/>
    <w:rsid w:val="2ABF3695"/>
    <w:rsid w:val="2AC1416E"/>
    <w:rsid w:val="2ACA8997"/>
    <w:rsid w:val="2AE7DA4F"/>
    <w:rsid w:val="2AF7952E"/>
    <w:rsid w:val="2AF8866C"/>
    <w:rsid w:val="2AF96FAF"/>
    <w:rsid w:val="2B0A7B63"/>
    <w:rsid w:val="2B128A4F"/>
    <w:rsid w:val="2B12E700"/>
    <w:rsid w:val="2B1CDD41"/>
    <w:rsid w:val="2B22A5FC"/>
    <w:rsid w:val="2B298852"/>
    <w:rsid w:val="2B40B349"/>
    <w:rsid w:val="2B423ECE"/>
    <w:rsid w:val="2B44BA7E"/>
    <w:rsid w:val="2B51B7D2"/>
    <w:rsid w:val="2B5BF7EC"/>
    <w:rsid w:val="2B5CA8A7"/>
    <w:rsid w:val="2B626F3C"/>
    <w:rsid w:val="2B64C92F"/>
    <w:rsid w:val="2B8646CD"/>
    <w:rsid w:val="2BA194E6"/>
    <w:rsid w:val="2BA2DF1E"/>
    <w:rsid w:val="2BBB21A3"/>
    <w:rsid w:val="2BBE1E0E"/>
    <w:rsid w:val="2BBFCE21"/>
    <w:rsid w:val="2BCD1470"/>
    <w:rsid w:val="2BD910C8"/>
    <w:rsid w:val="2BEAEBD0"/>
    <w:rsid w:val="2BF01998"/>
    <w:rsid w:val="2BF52D23"/>
    <w:rsid w:val="2BFB6E7D"/>
    <w:rsid w:val="2BFF796E"/>
    <w:rsid w:val="2C05DE08"/>
    <w:rsid w:val="2C351901"/>
    <w:rsid w:val="2C4CB198"/>
    <w:rsid w:val="2C69EF84"/>
    <w:rsid w:val="2C831A75"/>
    <w:rsid w:val="2C8D4626"/>
    <w:rsid w:val="2C9263F3"/>
    <w:rsid w:val="2C95F9E3"/>
    <w:rsid w:val="2CA8DFF0"/>
    <w:rsid w:val="2CB4E958"/>
    <w:rsid w:val="2CB649F8"/>
    <w:rsid w:val="2CC87D67"/>
    <w:rsid w:val="2CCCD5FB"/>
    <w:rsid w:val="2CCDC80A"/>
    <w:rsid w:val="2CD7FB04"/>
    <w:rsid w:val="2CD8BF6C"/>
    <w:rsid w:val="2CF389BC"/>
    <w:rsid w:val="2CFFB9F2"/>
    <w:rsid w:val="2D0028A1"/>
    <w:rsid w:val="2D02D5B5"/>
    <w:rsid w:val="2D07317D"/>
    <w:rsid w:val="2D0FC94B"/>
    <w:rsid w:val="2D2337A8"/>
    <w:rsid w:val="2D23995F"/>
    <w:rsid w:val="2D2BACBA"/>
    <w:rsid w:val="2D307F70"/>
    <w:rsid w:val="2D316E7A"/>
    <w:rsid w:val="2D31D32B"/>
    <w:rsid w:val="2D491D36"/>
    <w:rsid w:val="2D5B068C"/>
    <w:rsid w:val="2D68FD6F"/>
    <w:rsid w:val="2D700684"/>
    <w:rsid w:val="2D72D4CF"/>
    <w:rsid w:val="2D73FE11"/>
    <w:rsid w:val="2D7E59F0"/>
    <w:rsid w:val="2D8B39A3"/>
    <w:rsid w:val="2D9BCF9C"/>
    <w:rsid w:val="2DA47466"/>
    <w:rsid w:val="2DBF07C5"/>
    <w:rsid w:val="2DC11073"/>
    <w:rsid w:val="2DC654A2"/>
    <w:rsid w:val="2DC9826A"/>
    <w:rsid w:val="2DD0F554"/>
    <w:rsid w:val="2DD788E9"/>
    <w:rsid w:val="2DF94383"/>
    <w:rsid w:val="2E02A989"/>
    <w:rsid w:val="2E1B2E5E"/>
    <w:rsid w:val="2E1C75B9"/>
    <w:rsid w:val="2E20A3BD"/>
    <w:rsid w:val="2E23752E"/>
    <w:rsid w:val="2E28D9B9"/>
    <w:rsid w:val="2E29FA4C"/>
    <w:rsid w:val="2E335D4D"/>
    <w:rsid w:val="2E3C824D"/>
    <w:rsid w:val="2E4074F2"/>
    <w:rsid w:val="2E459152"/>
    <w:rsid w:val="2E4AB39D"/>
    <w:rsid w:val="2E4E21C2"/>
    <w:rsid w:val="2E627022"/>
    <w:rsid w:val="2E62F2F8"/>
    <w:rsid w:val="2E63A198"/>
    <w:rsid w:val="2E6F085D"/>
    <w:rsid w:val="2E8D86F8"/>
    <w:rsid w:val="2E966B29"/>
    <w:rsid w:val="2E989CF1"/>
    <w:rsid w:val="2EA2B153"/>
    <w:rsid w:val="2EB24DC6"/>
    <w:rsid w:val="2EB36AB9"/>
    <w:rsid w:val="2EB7CD5A"/>
    <w:rsid w:val="2EB8EFAA"/>
    <w:rsid w:val="2EBB43C5"/>
    <w:rsid w:val="2EBDEA4F"/>
    <w:rsid w:val="2ECA53B0"/>
    <w:rsid w:val="2EFBB6E6"/>
    <w:rsid w:val="2F072637"/>
    <w:rsid w:val="2F0F7E77"/>
    <w:rsid w:val="2F1BD8ED"/>
    <w:rsid w:val="2F2DDF2D"/>
    <w:rsid w:val="2F2EDBC2"/>
    <w:rsid w:val="2F31842F"/>
    <w:rsid w:val="2F38ADBB"/>
    <w:rsid w:val="2F3CA397"/>
    <w:rsid w:val="2F45F408"/>
    <w:rsid w:val="2F46A922"/>
    <w:rsid w:val="2F496BB4"/>
    <w:rsid w:val="2F535F85"/>
    <w:rsid w:val="2F5DBD56"/>
    <w:rsid w:val="2F675081"/>
    <w:rsid w:val="2F6E176B"/>
    <w:rsid w:val="2F735CE4"/>
    <w:rsid w:val="2F765B52"/>
    <w:rsid w:val="2F7B6520"/>
    <w:rsid w:val="2F821C55"/>
    <w:rsid w:val="2F836F36"/>
    <w:rsid w:val="2F855CF5"/>
    <w:rsid w:val="2FAD7FCF"/>
    <w:rsid w:val="2FCB98B1"/>
    <w:rsid w:val="2FD46A63"/>
    <w:rsid w:val="2FD62EAB"/>
    <w:rsid w:val="2FD7C4A0"/>
    <w:rsid w:val="2FD9D28F"/>
    <w:rsid w:val="2FE0DC5C"/>
    <w:rsid w:val="2FE11A5F"/>
    <w:rsid w:val="2FE53575"/>
    <w:rsid w:val="300EA532"/>
    <w:rsid w:val="3020F22F"/>
    <w:rsid w:val="30227A87"/>
    <w:rsid w:val="302BC920"/>
    <w:rsid w:val="30358FEE"/>
    <w:rsid w:val="303C1D67"/>
    <w:rsid w:val="303CDCC4"/>
    <w:rsid w:val="30559A76"/>
    <w:rsid w:val="3059617A"/>
    <w:rsid w:val="30650F76"/>
    <w:rsid w:val="306663E1"/>
    <w:rsid w:val="3068C641"/>
    <w:rsid w:val="306935A1"/>
    <w:rsid w:val="3085352E"/>
    <w:rsid w:val="3093F864"/>
    <w:rsid w:val="30A80E0C"/>
    <w:rsid w:val="30BAFC9A"/>
    <w:rsid w:val="30C5FB5E"/>
    <w:rsid w:val="30D68DD5"/>
    <w:rsid w:val="30EC9AC1"/>
    <w:rsid w:val="30F5C9DB"/>
    <w:rsid w:val="30FA8ACE"/>
    <w:rsid w:val="30FF332C"/>
    <w:rsid w:val="31073DB8"/>
    <w:rsid w:val="3110AC91"/>
    <w:rsid w:val="3112678C"/>
    <w:rsid w:val="3122A6D2"/>
    <w:rsid w:val="31268213"/>
    <w:rsid w:val="31297945"/>
    <w:rsid w:val="312BCC28"/>
    <w:rsid w:val="312C1A5E"/>
    <w:rsid w:val="31560D82"/>
    <w:rsid w:val="3156D2EE"/>
    <w:rsid w:val="315A3519"/>
    <w:rsid w:val="315E67DB"/>
    <w:rsid w:val="3178630B"/>
    <w:rsid w:val="3189D43E"/>
    <w:rsid w:val="318C7D42"/>
    <w:rsid w:val="31A7FF74"/>
    <w:rsid w:val="31A8A872"/>
    <w:rsid w:val="31BAD3A1"/>
    <w:rsid w:val="31D12759"/>
    <w:rsid w:val="31D45AFC"/>
    <w:rsid w:val="31D658DC"/>
    <w:rsid w:val="31DC082C"/>
    <w:rsid w:val="31F4DD29"/>
    <w:rsid w:val="31F84F39"/>
    <w:rsid w:val="31FCDDAD"/>
    <w:rsid w:val="32075126"/>
    <w:rsid w:val="320872CB"/>
    <w:rsid w:val="320E1D8B"/>
    <w:rsid w:val="320F4264"/>
    <w:rsid w:val="32126C14"/>
    <w:rsid w:val="32256B74"/>
    <w:rsid w:val="322A6FBB"/>
    <w:rsid w:val="323336D2"/>
    <w:rsid w:val="3238C664"/>
    <w:rsid w:val="323AFCA8"/>
    <w:rsid w:val="32405260"/>
    <w:rsid w:val="324407E5"/>
    <w:rsid w:val="325F3583"/>
    <w:rsid w:val="3263F30C"/>
    <w:rsid w:val="3264B9A9"/>
    <w:rsid w:val="3275C2A5"/>
    <w:rsid w:val="327FC1AC"/>
    <w:rsid w:val="3284C740"/>
    <w:rsid w:val="329B2CC6"/>
    <w:rsid w:val="32A0A6E4"/>
    <w:rsid w:val="32A3EE0A"/>
    <w:rsid w:val="32B485FF"/>
    <w:rsid w:val="32B6D047"/>
    <w:rsid w:val="32BD5333"/>
    <w:rsid w:val="32C7024F"/>
    <w:rsid w:val="32D7FBDD"/>
    <w:rsid w:val="32E9910A"/>
    <w:rsid w:val="32F47B82"/>
    <w:rsid w:val="3302CFB6"/>
    <w:rsid w:val="33087611"/>
    <w:rsid w:val="3309C3E0"/>
    <w:rsid w:val="331184A0"/>
    <w:rsid w:val="332B06FC"/>
    <w:rsid w:val="33459E9C"/>
    <w:rsid w:val="3351EB59"/>
    <w:rsid w:val="33545750"/>
    <w:rsid w:val="3369A149"/>
    <w:rsid w:val="336B00B2"/>
    <w:rsid w:val="336EEA54"/>
    <w:rsid w:val="33824FA7"/>
    <w:rsid w:val="338C8DC3"/>
    <w:rsid w:val="338CB1CD"/>
    <w:rsid w:val="339A143C"/>
    <w:rsid w:val="339BC0A6"/>
    <w:rsid w:val="33B438BA"/>
    <w:rsid w:val="33C5C7F0"/>
    <w:rsid w:val="33CA21D5"/>
    <w:rsid w:val="33CA2CE0"/>
    <w:rsid w:val="33CB3A23"/>
    <w:rsid w:val="33DBB502"/>
    <w:rsid w:val="33E52944"/>
    <w:rsid w:val="33E72613"/>
    <w:rsid w:val="33E7F363"/>
    <w:rsid w:val="33E8DCBD"/>
    <w:rsid w:val="33EA615D"/>
    <w:rsid w:val="33EBC734"/>
    <w:rsid w:val="33FBEACB"/>
    <w:rsid w:val="33FEA976"/>
    <w:rsid w:val="33FFE9DC"/>
    <w:rsid w:val="3406F778"/>
    <w:rsid w:val="340C8971"/>
    <w:rsid w:val="340F20E8"/>
    <w:rsid w:val="3416988F"/>
    <w:rsid w:val="341AF00D"/>
    <w:rsid w:val="341CB437"/>
    <w:rsid w:val="34297E48"/>
    <w:rsid w:val="343AC4FB"/>
    <w:rsid w:val="343C0384"/>
    <w:rsid w:val="343EA408"/>
    <w:rsid w:val="346627F1"/>
    <w:rsid w:val="34694D4F"/>
    <w:rsid w:val="3469F5D2"/>
    <w:rsid w:val="346E5489"/>
    <w:rsid w:val="346EB024"/>
    <w:rsid w:val="346F70D9"/>
    <w:rsid w:val="346FF409"/>
    <w:rsid w:val="347D609E"/>
    <w:rsid w:val="3492ABEE"/>
    <w:rsid w:val="3495E8EB"/>
    <w:rsid w:val="34970026"/>
    <w:rsid w:val="349FC79E"/>
    <w:rsid w:val="34C575FD"/>
    <w:rsid w:val="34D39D83"/>
    <w:rsid w:val="34DC9F66"/>
    <w:rsid w:val="34E17673"/>
    <w:rsid w:val="34F1E9EF"/>
    <w:rsid w:val="34F891BE"/>
    <w:rsid w:val="34FEC34D"/>
    <w:rsid w:val="35029A69"/>
    <w:rsid w:val="350B2FD5"/>
    <w:rsid w:val="350FA2EE"/>
    <w:rsid w:val="35156A5F"/>
    <w:rsid w:val="35158441"/>
    <w:rsid w:val="3517CD14"/>
    <w:rsid w:val="35230D4C"/>
    <w:rsid w:val="352AE48B"/>
    <w:rsid w:val="35388512"/>
    <w:rsid w:val="35391CD3"/>
    <w:rsid w:val="356491AE"/>
    <w:rsid w:val="3564FBEA"/>
    <w:rsid w:val="356BA906"/>
    <w:rsid w:val="357B2A78"/>
    <w:rsid w:val="357B6355"/>
    <w:rsid w:val="357D5E33"/>
    <w:rsid w:val="35888E4F"/>
    <w:rsid w:val="358F7B8B"/>
    <w:rsid w:val="359B1E94"/>
    <w:rsid w:val="359F3E00"/>
    <w:rsid w:val="35A2876D"/>
    <w:rsid w:val="35B47959"/>
    <w:rsid w:val="35BD7DE6"/>
    <w:rsid w:val="35EBBE5F"/>
    <w:rsid w:val="35F97E72"/>
    <w:rsid w:val="36000446"/>
    <w:rsid w:val="36081FEA"/>
    <w:rsid w:val="360BE0F2"/>
    <w:rsid w:val="360F8B6B"/>
    <w:rsid w:val="361C21C8"/>
    <w:rsid w:val="36360F79"/>
    <w:rsid w:val="363B6C22"/>
    <w:rsid w:val="36487A74"/>
    <w:rsid w:val="364D5A79"/>
    <w:rsid w:val="365DD52F"/>
    <w:rsid w:val="36653205"/>
    <w:rsid w:val="368F35F5"/>
    <w:rsid w:val="36A370C0"/>
    <w:rsid w:val="36A504F9"/>
    <w:rsid w:val="36C4B1B5"/>
    <w:rsid w:val="36D44F64"/>
    <w:rsid w:val="36D52157"/>
    <w:rsid w:val="36E3CD94"/>
    <w:rsid w:val="36ED950F"/>
    <w:rsid w:val="36F51038"/>
    <w:rsid w:val="36F71C92"/>
    <w:rsid w:val="36F73F84"/>
    <w:rsid w:val="3703EC46"/>
    <w:rsid w:val="3706388E"/>
    <w:rsid w:val="37080560"/>
    <w:rsid w:val="371AABB0"/>
    <w:rsid w:val="37327DDE"/>
    <w:rsid w:val="3759D2F3"/>
    <w:rsid w:val="3762ADC0"/>
    <w:rsid w:val="376932EC"/>
    <w:rsid w:val="37703A76"/>
    <w:rsid w:val="3773CAEB"/>
    <w:rsid w:val="377868D5"/>
    <w:rsid w:val="378F831A"/>
    <w:rsid w:val="379D4C30"/>
    <w:rsid w:val="37A7BF04"/>
    <w:rsid w:val="37B19C17"/>
    <w:rsid w:val="37C3DE5F"/>
    <w:rsid w:val="37C4EBBA"/>
    <w:rsid w:val="37CF0306"/>
    <w:rsid w:val="37D41788"/>
    <w:rsid w:val="37DA2583"/>
    <w:rsid w:val="37DF67A6"/>
    <w:rsid w:val="37E5DAD6"/>
    <w:rsid w:val="37E75181"/>
    <w:rsid w:val="37ED8335"/>
    <w:rsid w:val="37EE0002"/>
    <w:rsid w:val="37F78903"/>
    <w:rsid w:val="3825BD31"/>
    <w:rsid w:val="382FE944"/>
    <w:rsid w:val="38315A65"/>
    <w:rsid w:val="383252FE"/>
    <w:rsid w:val="38333570"/>
    <w:rsid w:val="3839EC83"/>
    <w:rsid w:val="383AD044"/>
    <w:rsid w:val="385AD28F"/>
    <w:rsid w:val="385B5FA5"/>
    <w:rsid w:val="38609187"/>
    <w:rsid w:val="3861EC53"/>
    <w:rsid w:val="3865357C"/>
    <w:rsid w:val="38689B03"/>
    <w:rsid w:val="386EAF6C"/>
    <w:rsid w:val="386FA4EC"/>
    <w:rsid w:val="3877FAB4"/>
    <w:rsid w:val="38965F3E"/>
    <w:rsid w:val="389D10A7"/>
    <w:rsid w:val="389F01C6"/>
    <w:rsid w:val="389F1167"/>
    <w:rsid w:val="38B44CC1"/>
    <w:rsid w:val="38CBFE66"/>
    <w:rsid w:val="38E183B6"/>
    <w:rsid w:val="38E59A74"/>
    <w:rsid w:val="38F2FB33"/>
    <w:rsid w:val="38F9A01C"/>
    <w:rsid w:val="38FE7214"/>
    <w:rsid w:val="390462CF"/>
    <w:rsid w:val="3905B98A"/>
    <w:rsid w:val="390ADD09"/>
    <w:rsid w:val="3910677F"/>
    <w:rsid w:val="3911FF2A"/>
    <w:rsid w:val="3915B7C8"/>
    <w:rsid w:val="391D90CA"/>
    <w:rsid w:val="392077F2"/>
    <w:rsid w:val="392A761B"/>
    <w:rsid w:val="3936568B"/>
    <w:rsid w:val="39395BE1"/>
    <w:rsid w:val="3958394A"/>
    <w:rsid w:val="396E5A08"/>
    <w:rsid w:val="398E3F11"/>
    <w:rsid w:val="399EC424"/>
    <w:rsid w:val="39AFAB16"/>
    <w:rsid w:val="39B4DE38"/>
    <w:rsid w:val="39B8914E"/>
    <w:rsid w:val="39C71A78"/>
    <w:rsid w:val="39D173CE"/>
    <w:rsid w:val="39D1F883"/>
    <w:rsid w:val="39D8CB5F"/>
    <w:rsid w:val="39DDE704"/>
    <w:rsid w:val="39E1C447"/>
    <w:rsid w:val="39EE335F"/>
    <w:rsid w:val="3A01C6DF"/>
    <w:rsid w:val="3A101CE5"/>
    <w:rsid w:val="3A10FD4A"/>
    <w:rsid w:val="3A1A3FF5"/>
    <w:rsid w:val="3A249910"/>
    <w:rsid w:val="3A27DA0F"/>
    <w:rsid w:val="3A2A7FC4"/>
    <w:rsid w:val="3A314F7D"/>
    <w:rsid w:val="3A371453"/>
    <w:rsid w:val="3A3ED18E"/>
    <w:rsid w:val="3A42D37D"/>
    <w:rsid w:val="3A578873"/>
    <w:rsid w:val="3A66BE67"/>
    <w:rsid w:val="3A6AA434"/>
    <w:rsid w:val="3A778A6D"/>
    <w:rsid w:val="3A80972E"/>
    <w:rsid w:val="3A8D63B4"/>
    <w:rsid w:val="3A8F273F"/>
    <w:rsid w:val="3AB0E793"/>
    <w:rsid w:val="3AB814D5"/>
    <w:rsid w:val="3AC1B434"/>
    <w:rsid w:val="3ADFEEF9"/>
    <w:rsid w:val="3AEF6D68"/>
    <w:rsid w:val="3AF26AAF"/>
    <w:rsid w:val="3AF8751C"/>
    <w:rsid w:val="3B1AE516"/>
    <w:rsid w:val="3B402E9A"/>
    <w:rsid w:val="3B4FF7F4"/>
    <w:rsid w:val="3B597CDB"/>
    <w:rsid w:val="3B5A52AE"/>
    <w:rsid w:val="3B6AB0DC"/>
    <w:rsid w:val="3B7CC8FA"/>
    <w:rsid w:val="3B94A1C5"/>
    <w:rsid w:val="3B952BCA"/>
    <w:rsid w:val="3BA0B68B"/>
    <w:rsid w:val="3BA4CE90"/>
    <w:rsid w:val="3BAACB66"/>
    <w:rsid w:val="3BAE0C9B"/>
    <w:rsid w:val="3BB8E3BB"/>
    <w:rsid w:val="3BC34776"/>
    <w:rsid w:val="3BC6DA8D"/>
    <w:rsid w:val="3BD7F046"/>
    <w:rsid w:val="3BD9869F"/>
    <w:rsid w:val="3BDC8CBA"/>
    <w:rsid w:val="3BF0EE67"/>
    <w:rsid w:val="3C287F3B"/>
    <w:rsid w:val="3C306048"/>
    <w:rsid w:val="3C431D9F"/>
    <w:rsid w:val="3C52A5C3"/>
    <w:rsid w:val="3C581771"/>
    <w:rsid w:val="3C610E2C"/>
    <w:rsid w:val="3C650A09"/>
    <w:rsid w:val="3C6B3598"/>
    <w:rsid w:val="3C6F03E9"/>
    <w:rsid w:val="3C6F7FB6"/>
    <w:rsid w:val="3C79F196"/>
    <w:rsid w:val="3C80DA05"/>
    <w:rsid w:val="3C879498"/>
    <w:rsid w:val="3C8DD51F"/>
    <w:rsid w:val="3C97EBAD"/>
    <w:rsid w:val="3C994CB8"/>
    <w:rsid w:val="3CA97FE4"/>
    <w:rsid w:val="3CB7A3E7"/>
    <w:rsid w:val="3CBC114F"/>
    <w:rsid w:val="3CC724E9"/>
    <w:rsid w:val="3CD24316"/>
    <w:rsid w:val="3CD25D70"/>
    <w:rsid w:val="3CE25582"/>
    <w:rsid w:val="3CE326C6"/>
    <w:rsid w:val="3CF74561"/>
    <w:rsid w:val="3D021DDB"/>
    <w:rsid w:val="3D03AAA2"/>
    <w:rsid w:val="3D07ABFE"/>
    <w:rsid w:val="3D08A626"/>
    <w:rsid w:val="3D16C7E9"/>
    <w:rsid w:val="3D1E8466"/>
    <w:rsid w:val="3D34875D"/>
    <w:rsid w:val="3D40AC5F"/>
    <w:rsid w:val="3D473FAC"/>
    <w:rsid w:val="3D524670"/>
    <w:rsid w:val="3D6D0390"/>
    <w:rsid w:val="3D6E3887"/>
    <w:rsid w:val="3D7C0B3C"/>
    <w:rsid w:val="3D83D353"/>
    <w:rsid w:val="3D870DD8"/>
    <w:rsid w:val="3DB0E27F"/>
    <w:rsid w:val="3DBBF1C6"/>
    <w:rsid w:val="3DD03CDD"/>
    <w:rsid w:val="3DD0BFE1"/>
    <w:rsid w:val="3DEB1C5B"/>
    <w:rsid w:val="3DED5C92"/>
    <w:rsid w:val="3DEF97EF"/>
    <w:rsid w:val="3DF2F40E"/>
    <w:rsid w:val="3DF5DAE5"/>
    <w:rsid w:val="3E097B60"/>
    <w:rsid w:val="3E0C1DB0"/>
    <w:rsid w:val="3E13F19A"/>
    <w:rsid w:val="3E1683D7"/>
    <w:rsid w:val="3E17EEF3"/>
    <w:rsid w:val="3E3BEFFC"/>
    <w:rsid w:val="3E454DD5"/>
    <w:rsid w:val="3E4731B5"/>
    <w:rsid w:val="3E52A635"/>
    <w:rsid w:val="3E54D3A8"/>
    <w:rsid w:val="3E66DCED"/>
    <w:rsid w:val="3E674201"/>
    <w:rsid w:val="3E6FDFD8"/>
    <w:rsid w:val="3E7E5E29"/>
    <w:rsid w:val="3E8022CF"/>
    <w:rsid w:val="3E99ADBA"/>
    <w:rsid w:val="3EA1A89B"/>
    <w:rsid w:val="3EB92B99"/>
    <w:rsid w:val="3ED28EB0"/>
    <w:rsid w:val="3EDC9BA7"/>
    <w:rsid w:val="3EE16C4D"/>
    <w:rsid w:val="3EE6DA83"/>
    <w:rsid w:val="3EF1AE45"/>
    <w:rsid w:val="3EF4E9FE"/>
    <w:rsid w:val="3F0945E1"/>
    <w:rsid w:val="3F09ADFD"/>
    <w:rsid w:val="3F1AEF7D"/>
    <w:rsid w:val="3F234C31"/>
    <w:rsid w:val="3F2CCEF8"/>
    <w:rsid w:val="3F338BB3"/>
    <w:rsid w:val="3F41FC32"/>
    <w:rsid w:val="3F5E1E02"/>
    <w:rsid w:val="3F620F03"/>
    <w:rsid w:val="3F6AFEC3"/>
    <w:rsid w:val="3F75E073"/>
    <w:rsid w:val="3F7663EA"/>
    <w:rsid w:val="3F76E072"/>
    <w:rsid w:val="3F81DF65"/>
    <w:rsid w:val="3F8747C3"/>
    <w:rsid w:val="3F934D47"/>
    <w:rsid w:val="3F9D74E4"/>
    <w:rsid w:val="3FB47243"/>
    <w:rsid w:val="3FC21DDC"/>
    <w:rsid w:val="3FCA4752"/>
    <w:rsid w:val="3FE4538B"/>
    <w:rsid w:val="3FF830AE"/>
    <w:rsid w:val="3FFB99B9"/>
    <w:rsid w:val="40058FA0"/>
    <w:rsid w:val="4006ABE7"/>
    <w:rsid w:val="4009DD8A"/>
    <w:rsid w:val="401EC5CE"/>
    <w:rsid w:val="4027C597"/>
    <w:rsid w:val="403A55AB"/>
    <w:rsid w:val="404ACD2F"/>
    <w:rsid w:val="40522018"/>
    <w:rsid w:val="405654B6"/>
    <w:rsid w:val="4077762A"/>
    <w:rsid w:val="408C8F6F"/>
    <w:rsid w:val="40955DB8"/>
    <w:rsid w:val="409E5F41"/>
    <w:rsid w:val="40A9348F"/>
    <w:rsid w:val="40A9B3BB"/>
    <w:rsid w:val="40B0FDE1"/>
    <w:rsid w:val="40C8EA57"/>
    <w:rsid w:val="40D371D8"/>
    <w:rsid w:val="40DB26C3"/>
    <w:rsid w:val="40E78E56"/>
    <w:rsid w:val="40ED091B"/>
    <w:rsid w:val="40FA46DB"/>
    <w:rsid w:val="410389A7"/>
    <w:rsid w:val="410B4477"/>
    <w:rsid w:val="4124AE2F"/>
    <w:rsid w:val="41278817"/>
    <w:rsid w:val="41302BFF"/>
    <w:rsid w:val="414B3BC6"/>
    <w:rsid w:val="414BB683"/>
    <w:rsid w:val="41658522"/>
    <w:rsid w:val="416A1C2C"/>
    <w:rsid w:val="416BE4EE"/>
    <w:rsid w:val="4170A6A2"/>
    <w:rsid w:val="417C403E"/>
    <w:rsid w:val="419F6C50"/>
    <w:rsid w:val="419FC5B6"/>
    <w:rsid w:val="41B301EB"/>
    <w:rsid w:val="41B6B81B"/>
    <w:rsid w:val="41BD2275"/>
    <w:rsid w:val="41BD796A"/>
    <w:rsid w:val="41BF42EF"/>
    <w:rsid w:val="41C15D56"/>
    <w:rsid w:val="41C1B539"/>
    <w:rsid w:val="41D53602"/>
    <w:rsid w:val="41DB7B82"/>
    <w:rsid w:val="41E43BD8"/>
    <w:rsid w:val="41FC3F3C"/>
    <w:rsid w:val="4206455B"/>
    <w:rsid w:val="420CD320"/>
    <w:rsid w:val="42164394"/>
    <w:rsid w:val="4227116A"/>
    <w:rsid w:val="42271269"/>
    <w:rsid w:val="42283789"/>
    <w:rsid w:val="4228A41F"/>
    <w:rsid w:val="422BD216"/>
    <w:rsid w:val="422C09C6"/>
    <w:rsid w:val="42352ECF"/>
    <w:rsid w:val="423E5C4F"/>
    <w:rsid w:val="42408863"/>
    <w:rsid w:val="4240AB5D"/>
    <w:rsid w:val="42478E39"/>
    <w:rsid w:val="424F87EF"/>
    <w:rsid w:val="42546B0C"/>
    <w:rsid w:val="425F6D5A"/>
    <w:rsid w:val="42672C25"/>
    <w:rsid w:val="426D9879"/>
    <w:rsid w:val="42878E74"/>
    <w:rsid w:val="428DDE9A"/>
    <w:rsid w:val="42909B80"/>
    <w:rsid w:val="42A22F7F"/>
    <w:rsid w:val="42B921C6"/>
    <w:rsid w:val="42D14FD6"/>
    <w:rsid w:val="42D40018"/>
    <w:rsid w:val="42DA1629"/>
    <w:rsid w:val="42F106AA"/>
    <w:rsid w:val="42FE3574"/>
    <w:rsid w:val="43021192"/>
    <w:rsid w:val="430305E9"/>
    <w:rsid w:val="4306DE3B"/>
    <w:rsid w:val="430753E6"/>
    <w:rsid w:val="430A050E"/>
    <w:rsid w:val="430AF54F"/>
    <w:rsid w:val="4311CFD2"/>
    <w:rsid w:val="4313EB96"/>
    <w:rsid w:val="431ED7B8"/>
    <w:rsid w:val="432139A8"/>
    <w:rsid w:val="4323F009"/>
    <w:rsid w:val="4326AD55"/>
    <w:rsid w:val="432781BD"/>
    <w:rsid w:val="4343A47F"/>
    <w:rsid w:val="434E6EEC"/>
    <w:rsid w:val="4363DD1E"/>
    <w:rsid w:val="43665C5E"/>
    <w:rsid w:val="436B4828"/>
    <w:rsid w:val="437058C3"/>
    <w:rsid w:val="437A8AFD"/>
    <w:rsid w:val="437DF770"/>
    <w:rsid w:val="438FD4B3"/>
    <w:rsid w:val="43918026"/>
    <w:rsid w:val="439B7C31"/>
    <w:rsid w:val="43A0CC99"/>
    <w:rsid w:val="43AD9DFF"/>
    <w:rsid w:val="43AE57BE"/>
    <w:rsid w:val="43B5F919"/>
    <w:rsid w:val="43C5AC83"/>
    <w:rsid w:val="43C69C51"/>
    <w:rsid w:val="43CFCCED"/>
    <w:rsid w:val="43D00DE7"/>
    <w:rsid w:val="43D549AD"/>
    <w:rsid w:val="43D855F4"/>
    <w:rsid w:val="43DF2A16"/>
    <w:rsid w:val="43DF3717"/>
    <w:rsid w:val="43E53C77"/>
    <w:rsid w:val="43E6159D"/>
    <w:rsid w:val="43F04E10"/>
    <w:rsid w:val="43F33367"/>
    <w:rsid w:val="43F716B9"/>
    <w:rsid w:val="43FD6FD3"/>
    <w:rsid w:val="44052C2E"/>
    <w:rsid w:val="4411BAE2"/>
    <w:rsid w:val="445336B3"/>
    <w:rsid w:val="44571E5C"/>
    <w:rsid w:val="447224CA"/>
    <w:rsid w:val="447811AA"/>
    <w:rsid w:val="4485F670"/>
    <w:rsid w:val="448C8154"/>
    <w:rsid w:val="449A9587"/>
    <w:rsid w:val="449ABB5A"/>
    <w:rsid w:val="44AB0200"/>
    <w:rsid w:val="44AB8D30"/>
    <w:rsid w:val="44AC1842"/>
    <w:rsid w:val="44AC760F"/>
    <w:rsid w:val="44B5AE84"/>
    <w:rsid w:val="44BED171"/>
    <w:rsid w:val="44C4509D"/>
    <w:rsid w:val="44CDAFED"/>
    <w:rsid w:val="44CFC1D5"/>
    <w:rsid w:val="44D087C5"/>
    <w:rsid w:val="44DC7010"/>
    <w:rsid w:val="44E9861D"/>
    <w:rsid w:val="44EEA6AF"/>
    <w:rsid w:val="44F7E2B0"/>
    <w:rsid w:val="44FAEE42"/>
    <w:rsid w:val="4500BC83"/>
    <w:rsid w:val="45140BD4"/>
    <w:rsid w:val="451A11F7"/>
    <w:rsid w:val="451DF963"/>
    <w:rsid w:val="451E9EA0"/>
    <w:rsid w:val="4522AA85"/>
    <w:rsid w:val="45257F98"/>
    <w:rsid w:val="4529C06D"/>
    <w:rsid w:val="45359F5D"/>
    <w:rsid w:val="454DE0F2"/>
    <w:rsid w:val="456255F0"/>
    <w:rsid w:val="4586977A"/>
    <w:rsid w:val="4592EED3"/>
    <w:rsid w:val="459E5F18"/>
    <w:rsid w:val="45A6F56C"/>
    <w:rsid w:val="45C56C5E"/>
    <w:rsid w:val="45C8D1FE"/>
    <w:rsid w:val="45E67E5B"/>
    <w:rsid w:val="45FF715A"/>
    <w:rsid w:val="460B004F"/>
    <w:rsid w:val="4627FC45"/>
    <w:rsid w:val="46286C9F"/>
    <w:rsid w:val="46287408"/>
    <w:rsid w:val="463862DF"/>
    <w:rsid w:val="463A125A"/>
    <w:rsid w:val="4643BDFC"/>
    <w:rsid w:val="464ECDC8"/>
    <w:rsid w:val="465B7AC1"/>
    <w:rsid w:val="465D6026"/>
    <w:rsid w:val="4662413E"/>
    <w:rsid w:val="4664ADFE"/>
    <w:rsid w:val="4667E4A6"/>
    <w:rsid w:val="467896CA"/>
    <w:rsid w:val="4682ECA6"/>
    <w:rsid w:val="468E1D3E"/>
    <w:rsid w:val="468E8B53"/>
    <w:rsid w:val="46D1CADF"/>
    <w:rsid w:val="46D5CF56"/>
    <w:rsid w:val="46D8E94F"/>
    <w:rsid w:val="46DF4930"/>
    <w:rsid w:val="46ED6218"/>
    <w:rsid w:val="46F7E61E"/>
    <w:rsid w:val="4702694F"/>
    <w:rsid w:val="470946F4"/>
    <w:rsid w:val="470C16D3"/>
    <w:rsid w:val="4716CAC7"/>
    <w:rsid w:val="471ABA92"/>
    <w:rsid w:val="471B7555"/>
    <w:rsid w:val="47268DAD"/>
    <w:rsid w:val="472A2BB2"/>
    <w:rsid w:val="475176DE"/>
    <w:rsid w:val="475484F9"/>
    <w:rsid w:val="475D873C"/>
    <w:rsid w:val="4761DDAC"/>
    <w:rsid w:val="4764092D"/>
    <w:rsid w:val="47720DAB"/>
    <w:rsid w:val="479C138D"/>
    <w:rsid w:val="479C5CB6"/>
    <w:rsid w:val="47AC14BF"/>
    <w:rsid w:val="47B9C418"/>
    <w:rsid w:val="47BE820E"/>
    <w:rsid w:val="47C3163A"/>
    <w:rsid w:val="47C4811D"/>
    <w:rsid w:val="47C7CD62"/>
    <w:rsid w:val="47CCAF28"/>
    <w:rsid w:val="47D00A0D"/>
    <w:rsid w:val="47D7D55A"/>
    <w:rsid w:val="47DD1FFD"/>
    <w:rsid w:val="47DFE87A"/>
    <w:rsid w:val="47E07F1F"/>
    <w:rsid w:val="47E57CCB"/>
    <w:rsid w:val="47E8FAEA"/>
    <w:rsid w:val="47EDCA60"/>
    <w:rsid w:val="47F1D0EA"/>
    <w:rsid w:val="4809FB10"/>
    <w:rsid w:val="4811D9CA"/>
    <w:rsid w:val="48129280"/>
    <w:rsid w:val="482FBF5A"/>
    <w:rsid w:val="4835FF40"/>
    <w:rsid w:val="4836DEC4"/>
    <w:rsid w:val="483F3C33"/>
    <w:rsid w:val="484E3D73"/>
    <w:rsid w:val="485472E9"/>
    <w:rsid w:val="485672FC"/>
    <w:rsid w:val="4856D656"/>
    <w:rsid w:val="4857D0B6"/>
    <w:rsid w:val="485E3F32"/>
    <w:rsid w:val="486B5373"/>
    <w:rsid w:val="4876F5BF"/>
    <w:rsid w:val="48AC64DD"/>
    <w:rsid w:val="48B0E2CD"/>
    <w:rsid w:val="48B43978"/>
    <w:rsid w:val="48C81481"/>
    <w:rsid w:val="48D42F39"/>
    <w:rsid w:val="48D60F6A"/>
    <w:rsid w:val="48FD9925"/>
    <w:rsid w:val="4909A745"/>
    <w:rsid w:val="490DC788"/>
    <w:rsid w:val="4914273B"/>
    <w:rsid w:val="49192149"/>
    <w:rsid w:val="491A0464"/>
    <w:rsid w:val="492B9DC1"/>
    <w:rsid w:val="49303CA7"/>
    <w:rsid w:val="49442894"/>
    <w:rsid w:val="494B1614"/>
    <w:rsid w:val="494D19A4"/>
    <w:rsid w:val="494E2F20"/>
    <w:rsid w:val="495BDCF3"/>
    <w:rsid w:val="496045E5"/>
    <w:rsid w:val="496051BA"/>
    <w:rsid w:val="4966AE8F"/>
    <w:rsid w:val="497E4830"/>
    <w:rsid w:val="498F4286"/>
    <w:rsid w:val="499210EC"/>
    <w:rsid w:val="49C32A9B"/>
    <w:rsid w:val="49CBB39D"/>
    <w:rsid w:val="49E2A740"/>
    <w:rsid w:val="49E39085"/>
    <w:rsid w:val="49FB3DF9"/>
    <w:rsid w:val="4A005DFF"/>
    <w:rsid w:val="4A0BDF2B"/>
    <w:rsid w:val="4A0E542D"/>
    <w:rsid w:val="4A1FB247"/>
    <w:rsid w:val="4A2CB6D6"/>
    <w:rsid w:val="4A33964F"/>
    <w:rsid w:val="4A3B4FEB"/>
    <w:rsid w:val="4A3FC780"/>
    <w:rsid w:val="4A453685"/>
    <w:rsid w:val="4A49102E"/>
    <w:rsid w:val="4A50B16F"/>
    <w:rsid w:val="4A58737C"/>
    <w:rsid w:val="4A587402"/>
    <w:rsid w:val="4A5A2873"/>
    <w:rsid w:val="4A6846F4"/>
    <w:rsid w:val="4A70328A"/>
    <w:rsid w:val="4A7C4D44"/>
    <w:rsid w:val="4A7DC402"/>
    <w:rsid w:val="4A82C3C6"/>
    <w:rsid w:val="4A8C1704"/>
    <w:rsid w:val="4A95567F"/>
    <w:rsid w:val="4AA367CB"/>
    <w:rsid w:val="4AACC56F"/>
    <w:rsid w:val="4AB0C885"/>
    <w:rsid w:val="4ABE3603"/>
    <w:rsid w:val="4ABEDC00"/>
    <w:rsid w:val="4ADAB469"/>
    <w:rsid w:val="4AE19C84"/>
    <w:rsid w:val="4AE9BFC4"/>
    <w:rsid w:val="4AEBDA76"/>
    <w:rsid w:val="4AF1584B"/>
    <w:rsid w:val="4B09CAB4"/>
    <w:rsid w:val="4B155098"/>
    <w:rsid w:val="4B1DFE3B"/>
    <w:rsid w:val="4B2857BD"/>
    <w:rsid w:val="4B37D127"/>
    <w:rsid w:val="4B3825B9"/>
    <w:rsid w:val="4B40C32C"/>
    <w:rsid w:val="4B55B6CD"/>
    <w:rsid w:val="4B7177DF"/>
    <w:rsid w:val="4B730D97"/>
    <w:rsid w:val="4B78AF4E"/>
    <w:rsid w:val="4B79766F"/>
    <w:rsid w:val="4B9F330F"/>
    <w:rsid w:val="4BA0253E"/>
    <w:rsid w:val="4BA4B9FD"/>
    <w:rsid w:val="4BA50092"/>
    <w:rsid w:val="4BB99787"/>
    <w:rsid w:val="4BC511FA"/>
    <w:rsid w:val="4BC78006"/>
    <w:rsid w:val="4BCFEE47"/>
    <w:rsid w:val="4BD1AF74"/>
    <w:rsid w:val="4BD9F845"/>
    <w:rsid w:val="4BE71711"/>
    <w:rsid w:val="4BF06290"/>
    <w:rsid w:val="4BF1E642"/>
    <w:rsid w:val="4BF75EA1"/>
    <w:rsid w:val="4C06AA06"/>
    <w:rsid w:val="4C074A75"/>
    <w:rsid w:val="4C07A367"/>
    <w:rsid w:val="4C0F1C13"/>
    <w:rsid w:val="4C10C458"/>
    <w:rsid w:val="4C2028C2"/>
    <w:rsid w:val="4C20FC34"/>
    <w:rsid w:val="4C2D06A6"/>
    <w:rsid w:val="4C3A8A1D"/>
    <w:rsid w:val="4C474EC9"/>
    <w:rsid w:val="4C4AEA83"/>
    <w:rsid w:val="4C557A54"/>
    <w:rsid w:val="4C7A18AE"/>
    <w:rsid w:val="4C7AC66D"/>
    <w:rsid w:val="4C831C7A"/>
    <w:rsid w:val="4C95ECA8"/>
    <w:rsid w:val="4C97B500"/>
    <w:rsid w:val="4C9DE246"/>
    <w:rsid w:val="4CAA2202"/>
    <w:rsid w:val="4CAE439F"/>
    <w:rsid w:val="4CBDC058"/>
    <w:rsid w:val="4CCB1260"/>
    <w:rsid w:val="4CD43583"/>
    <w:rsid w:val="4CE5B552"/>
    <w:rsid w:val="4CE70C80"/>
    <w:rsid w:val="4CF964CF"/>
    <w:rsid w:val="4D076012"/>
    <w:rsid w:val="4D09EF61"/>
    <w:rsid w:val="4D1839A9"/>
    <w:rsid w:val="4D1F461D"/>
    <w:rsid w:val="4D246107"/>
    <w:rsid w:val="4D262218"/>
    <w:rsid w:val="4D359CDB"/>
    <w:rsid w:val="4D3B735D"/>
    <w:rsid w:val="4D4E245D"/>
    <w:rsid w:val="4D5CF3FF"/>
    <w:rsid w:val="4D6B4307"/>
    <w:rsid w:val="4D74AF98"/>
    <w:rsid w:val="4D75A9FE"/>
    <w:rsid w:val="4D788995"/>
    <w:rsid w:val="4D788FF2"/>
    <w:rsid w:val="4D794111"/>
    <w:rsid w:val="4D83DAE5"/>
    <w:rsid w:val="4D89065D"/>
    <w:rsid w:val="4D920168"/>
    <w:rsid w:val="4D97C076"/>
    <w:rsid w:val="4DAEAAEA"/>
    <w:rsid w:val="4DB13B99"/>
    <w:rsid w:val="4DBA95B0"/>
    <w:rsid w:val="4DC40079"/>
    <w:rsid w:val="4DCC36D0"/>
    <w:rsid w:val="4DD029AF"/>
    <w:rsid w:val="4DDD6E07"/>
    <w:rsid w:val="4DE10D57"/>
    <w:rsid w:val="4DE14DE0"/>
    <w:rsid w:val="4DE227F1"/>
    <w:rsid w:val="4DF5C8F5"/>
    <w:rsid w:val="4DF8FA6C"/>
    <w:rsid w:val="4DFD0AC1"/>
    <w:rsid w:val="4E0099A0"/>
    <w:rsid w:val="4E013AF3"/>
    <w:rsid w:val="4E14017D"/>
    <w:rsid w:val="4E1F8962"/>
    <w:rsid w:val="4E24B686"/>
    <w:rsid w:val="4E2D2E53"/>
    <w:rsid w:val="4E35AE84"/>
    <w:rsid w:val="4E3AD30A"/>
    <w:rsid w:val="4E46F6CB"/>
    <w:rsid w:val="4E4E89BD"/>
    <w:rsid w:val="4E60B1E2"/>
    <w:rsid w:val="4E6B372E"/>
    <w:rsid w:val="4E6CC168"/>
    <w:rsid w:val="4E6DDC80"/>
    <w:rsid w:val="4E70FE90"/>
    <w:rsid w:val="4E7C3701"/>
    <w:rsid w:val="4E8FD0F4"/>
    <w:rsid w:val="4E964CFB"/>
    <w:rsid w:val="4EA30322"/>
    <w:rsid w:val="4EAE80AC"/>
    <w:rsid w:val="4EB3F067"/>
    <w:rsid w:val="4EBF5F1A"/>
    <w:rsid w:val="4EC58C8E"/>
    <w:rsid w:val="4ECB8E7B"/>
    <w:rsid w:val="4ECD5342"/>
    <w:rsid w:val="4ED7E99F"/>
    <w:rsid w:val="4ED9CE82"/>
    <w:rsid w:val="4EDEB4C7"/>
    <w:rsid w:val="4EE93C80"/>
    <w:rsid w:val="4EF00056"/>
    <w:rsid w:val="4F01BFEF"/>
    <w:rsid w:val="4F1497F2"/>
    <w:rsid w:val="4F17F726"/>
    <w:rsid w:val="4F35BE85"/>
    <w:rsid w:val="4F383F60"/>
    <w:rsid w:val="4F3A99C0"/>
    <w:rsid w:val="4F5A11F0"/>
    <w:rsid w:val="4F62A91F"/>
    <w:rsid w:val="4F66FD59"/>
    <w:rsid w:val="4F77313E"/>
    <w:rsid w:val="4F7B950C"/>
    <w:rsid w:val="4F7E7E7E"/>
    <w:rsid w:val="4F80C107"/>
    <w:rsid w:val="4F92175A"/>
    <w:rsid w:val="4F96D3E0"/>
    <w:rsid w:val="4FA10B47"/>
    <w:rsid w:val="4FA4EFDB"/>
    <w:rsid w:val="4FBBFF81"/>
    <w:rsid w:val="4FC3FE7C"/>
    <w:rsid w:val="4FC74345"/>
    <w:rsid w:val="4FCFC124"/>
    <w:rsid w:val="4FEBA580"/>
    <w:rsid w:val="4FF860EE"/>
    <w:rsid w:val="4FFA2D82"/>
    <w:rsid w:val="500B29B9"/>
    <w:rsid w:val="50167B31"/>
    <w:rsid w:val="502B3D60"/>
    <w:rsid w:val="502B53EC"/>
    <w:rsid w:val="5040F64F"/>
    <w:rsid w:val="5044CB2C"/>
    <w:rsid w:val="504E8B70"/>
    <w:rsid w:val="505C424C"/>
    <w:rsid w:val="506507DF"/>
    <w:rsid w:val="506F28B4"/>
    <w:rsid w:val="5081B8AB"/>
    <w:rsid w:val="5085FD5E"/>
    <w:rsid w:val="50889409"/>
    <w:rsid w:val="5088F16B"/>
    <w:rsid w:val="508AE57C"/>
    <w:rsid w:val="5091695D"/>
    <w:rsid w:val="50931D6E"/>
    <w:rsid w:val="50982A98"/>
    <w:rsid w:val="509D2FF7"/>
    <w:rsid w:val="50C72EA3"/>
    <w:rsid w:val="50CE5B95"/>
    <w:rsid w:val="50DAD35F"/>
    <w:rsid w:val="50E21F46"/>
    <w:rsid w:val="50EFD947"/>
    <w:rsid w:val="510222BB"/>
    <w:rsid w:val="5117C584"/>
    <w:rsid w:val="5124BF04"/>
    <w:rsid w:val="5126639E"/>
    <w:rsid w:val="513095D6"/>
    <w:rsid w:val="51348E8D"/>
    <w:rsid w:val="5137F850"/>
    <w:rsid w:val="513FB755"/>
    <w:rsid w:val="5149C923"/>
    <w:rsid w:val="514DB8EA"/>
    <w:rsid w:val="5154C8FC"/>
    <w:rsid w:val="51668570"/>
    <w:rsid w:val="517846BF"/>
    <w:rsid w:val="51784894"/>
    <w:rsid w:val="517DC55C"/>
    <w:rsid w:val="51830FA7"/>
    <w:rsid w:val="518FE057"/>
    <w:rsid w:val="5191F0A7"/>
    <w:rsid w:val="51965F7F"/>
    <w:rsid w:val="51B00D7D"/>
    <w:rsid w:val="51B12816"/>
    <w:rsid w:val="51BE8D99"/>
    <w:rsid w:val="51C5294B"/>
    <w:rsid w:val="51DD6523"/>
    <w:rsid w:val="51E44455"/>
    <w:rsid w:val="51E6B504"/>
    <w:rsid w:val="51F04BB9"/>
    <w:rsid w:val="51F889DF"/>
    <w:rsid w:val="51FE650B"/>
    <w:rsid w:val="5202E5B6"/>
    <w:rsid w:val="5205053A"/>
    <w:rsid w:val="521485A5"/>
    <w:rsid w:val="52305478"/>
    <w:rsid w:val="523C76FA"/>
    <w:rsid w:val="5240425A"/>
    <w:rsid w:val="524853D5"/>
    <w:rsid w:val="5249C12C"/>
    <w:rsid w:val="5263DAC3"/>
    <w:rsid w:val="526D25FD"/>
    <w:rsid w:val="527451C0"/>
    <w:rsid w:val="52806512"/>
    <w:rsid w:val="5280EEC9"/>
    <w:rsid w:val="5298CD59"/>
    <w:rsid w:val="52A0B37D"/>
    <w:rsid w:val="52AC8DA0"/>
    <w:rsid w:val="52AFF64E"/>
    <w:rsid w:val="52B1A56A"/>
    <w:rsid w:val="52BFDA7B"/>
    <w:rsid w:val="52D6666D"/>
    <w:rsid w:val="52D93A6E"/>
    <w:rsid w:val="52DFD6A9"/>
    <w:rsid w:val="52F0C9D9"/>
    <w:rsid w:val="52F736E1"/>
    <w:rsid w:val="53066332"/>
    <w:rsid w:val="5319AAD9"/>
    <w:rsid w:val="531BBB33"/>
    <w:rsid w:val="532B6402"/>
    <w:rsid w:val="532BFD82"/>
    <w:rsid w:val="532E59F0"/>
    <w:rsid w:val="5336DA25"/>
    <w:rsid w:val="5337B741"/>
    <w:rsid w:val="533A34FD"/>
    <w:rsid w:val="5343DCC0"/>
    <w:rsid w:val="534BDFF1"/>
    <w:rsid w:val="5350009F"/>
    <w:rsid w:val="5351B1D1"/>
    <w:rsid w:val="535ABA2C"/>
    <w:rsid w:val="535B26F0"/>
    <w:rsid w:val="5361115F"/>
    <w:rsid w:val="536FE045"/>
    <w:rsid w:val="537DDAD3"/>
    <w:rsid w:val="5382FCA6"/>
    <w:rsid w:val="539FB1EA"/>
    <w:rsid w:val="53B0F7EB"/>
    <w:rsid w:val="53C783F6"/>
    <w:rsid w:val="53C92A13"/>
    <w:rsid w:val="53CE2EEA"/>
    <w:rsid w:val="53CFA4B8"/>
    <w:rsid w:val="53E5CD0A"/>
    <w:rsid w:val="53F03F29"/>
    <w:rsid w:val="53F3C1E6"/>
    <w:rsid w:val="54045AEC"/>
    <w:rsid w:val="540F12C6"/>
    <w:rsid w:val="5418D21B"/>
    <w:rsid w:val="541A91B1"/>
    <w:rsid w:val="5423040E"/>
    <w:rsid w:val="54247793"/>
    <w:rsid w:val="5427147A"/>
    <w:rsid w:val="54298519"/>
    <w:rsid w:val="542DE7D3"/>
    <w:rsid w:val="54383ED2"/>
    <w:rsid w:val="544696CD"/>
    <w:rsid w:val="54485B87"/>
    <w:rsid w:val="546B757F"/>
    <w:rsid w:val="546D0CDE"/>
    <w:rsid w:val="5470D695"/>
    <w:rsid w:val="548E1C51"/>
    <w:rsid w:val="54AD90D2"/>
    <w:rsid w:val="54B7B92A"/>
    <w:rsid w:val="54C2ABB2"/>
    <w:rsid w:val="54CA3FED"/>
    <w:rsid w:val="54D3DBDD"/>
    <w:rsid w:val="54DF7422"/>
    <w:rsid w:val="54EB208A"/>
    <w:rsid w:val="54EEAD58"/>
    <w:rsid w:val="54F1807A"/>
    <w:rsid w:val="54F2DC48"/>
    <w:rsid w:val="54F339D7"/>
    <w:rsid w:val="54F5EB37"/>
    <w:rsid w:val="54F737B4"/>
    <w:rsid w:val="54F7DCA1"/>
    <w:rsid w:val="54FD6FEC"/>
    <w:rsid w:val="550038FD"/>
    <w:rsid w:val="5504DBB9"/>
    <w:rsid w:val="55078F7D"/>
    <w:rsid w:val="550F10CD"/>
    <w:rsid w:val="551020A1"/>
    <w:rsid w:val="5512459C"/>
    <w:rsid w:val="551E6CA2"/>
    <w:rsid w:val="5526146C"/>
    <w:rsid w:val="5538BB8D"/>
    <w:rsid w:val="555D58C5"/>
    <w:rsid w:val="55654B42"/>
    <w:rsid w:val="556FC038"/>
    <w:rsid w:val="5572ED71"/>
    <w:rsid w:val="557542AD"/>
    <w:rsid w:val="5576B76E"/>
    <w:rsid w:val="558F822E"/>
    <w:rsid w:val="5593A980"/>
    <w:rsid w:val="5599BAA5"/>
    <w:rsid w:val="559C2476"/>
    <w:rsid w:val="55A13B45"/>
    <w:rsid w:val="55A9D3EE"/>
    <w:rsid w:val="55B5628D"/>
    <w:rsid w:val="55C2B015"/>
    <w:rsid w:val="55C40ED4"/>
    <w:rsid w:val="55C96F3F"/>
    <w:rsid w:val="55E085D4"/>
    <w:rsid w:val="55F1D00F"/>
    <w:rsid w:val="55FD42F8"/>
    <w:rsid w:val="5602A2AB"/>
    <w:rsid w:val="5607D9E6"/>
    <w:rsid w:val="560C4699"/>
    <w:rsid w:val="56194F38"/>
    <w:rsid w:val="56231B53"/>
    <w:rsid w:val="56354161"/>
    <w:rsid w:val="56423634"/>
    <w:rsid w:val="56498CDC"/>
    <w:rsid w:val="564A92CB"/>
    <w:rsid w:val="564DABDB"/>
    <w:rsid w:val="5653B942"/>
    <w:rsid w:val="56552E53"/>
    <w:rsid w:val="566418D3"/>
    <w:rsid w:val="566E1F43"/>
    <w:rsid w:val="56736B22"/>
    <w:rsid w:val="5682F365"/>
    <w:rsid w:val="56861C3F"/>
    <w:rsid w:val="5695EA9A"/>
    <w:rsid w:val="5699EBF4"/>
    <w:rsid w:val="569A7FCF"/>
    <w:rsid w:val="569D4C70"/>
    <w:rsid w:val="569E11E5"/>
    <w:rsid w:val="56A5A82A"/>
    <w:rsid w:val="56ABB28F"/>
    <w:rsid w:val="56B39EE7"/>
    <w:rsid w:val="56B4CEDD"/>
    <w:rsid w:val="56B93871"/>
    <w:rsid w:val="56BAD530"/>
    <w:rsid w:val="56C91E6E"/>
    <w:rsid w:val="56C9297B"/>
    <w:rsid w:val="56CBCB12"/>
    <w:rsid w:val="56D0C943"/>
    <w:rsid w:val="56D19036"/>
    <w:rsid w:val="56DDD59A"/>
    <w:rsid w:val="56DED7A9"/>
    <w:rsid w:val="56DF8DA9"/>
    <w:rsid w:val="56F7BF1B"/>
    <w:rsid w:val="57217513"/>
    <w:rsid w:val="5724DBC7"/>
    <w:rsid w:val="5726FC49"/>
    <w:rsid w:val="57300A23"/>
    <w:rsid w:val="575F65DB"/>
    <w:rsid w:val="575F9F84"/>
    <w:rsid w:val="57793193"/>
    <w:rsid w:val="5790BC58"/>
    <w:rsid w:val="57952A50"/>
    <w:rsid w:val="579E7210"/>
    <w:rsid w:val="579E7F04"/>
    <w:rsid w:val="57AEF23D"/>
    <w:rsid w:val="57CCEBF4"/>
    <w:rsid w:val="57D0278F"/>
    <w:rsid w:val="57DD0FE8"/>
    <w:rsid w:val="57E974F3"/>
    <w:rsid w:val="57F1E332"/>
    <w:rsid w:val="57F571E0"/>
    <w:rsid w:val="5800CD24"/>
    <w:rsid w:val="580696F6"/>
    <w:rsid w:val="5820F803"/>
    <w:rsid w:val="58249A84"/>
    <w:rsid w:val="582F51AB"/>
    <w:rsid w:val="583122DE"/>
    <w:rsid w:val="58319BE6"/>
    <w:rsid w:val="584C8CD9"/>
    <w:rsid w:val="586BD8FF"/>
    <w:rsid w:val="586D2EAC"/>
    <w:rsid w:val="587E92E2"/>
    <w:rsid w:val="588F37FC"/>
    <w:rsid w:val="58C543B2"/>
    <w:rsid w:val="58C9402F"/>
    <w:rsid w:val="58D95520"/>
    <w:rsid w:val="58E8C77E"/>
    <w:rsid w:val="58F663D6"/>
    <w:rsid w:val="58FA49FE"/>
    <w:rsid w:val="5911EB15"/>
    <w:rsid w:val="5913BB0B"/>
    <w:rsid w:val="592D33F6"/>
    <w:rsid w:val="592F86C8"/>
    <w:rsid w:val="5933A707"/>
    <w:rsid w:val="593E5895"/>
    <w:rsid w:val="593F1C22"/>
    <w:rsid w:val="594C6F26"/>
    <w:rsid w:val="595A17E1"/>
    <w:rsid w:val="596670CF"/>
    <w:rsid w:val="5972F65D"/>
    <w:rsid w:val="598F5335"/>
    <w:rsid w:val="5994CC92"/>
    <w:rsid w:val="59A5DD6D"/>
    <w:rsid w:val="59AF3655"/>
    <w:rsid w:val="59BF2EC6"/>
    <w:rsid w:val="59C14CE1"/>
    <w:rsid w:val="59C4B39D"/>
    <w:rsid w:val="59DE2A97"/>
    <w:rsid w:val="59F4CEB5"/>
    <w:rsid w:val="59F5BA63"/>
    <w:rsid w:val="5A01FA89"/>
    <w:rsid w:val="5A057BAD"/>
    <w:rsid w:val="5A1EF872"/>
    <w:rsid w:val="5A2EC553"/>
    <w:rsid w:val="5A36333B"/>
    <w:rsid w:val="5A36D2A9"/>
    <w:rsid w:val="5A3B30CC"/>
    <w:rsid w:val="5A3B8E49"/>
    <w:rsid w:val="5A4AFEFB"/>
    <w:rsid w:val="5A54B395"/>
    <w:rsid w:val="5A600C1A"/>
    <w:rsid w:val="5A672578"/>
    <w:rsid w:val="5A7428FD"/>
    <w:rsid w:val="5A7CC688"/>
    <w:rsid w:val="5A8A5FD1"/>
    <w:rsid w:val="5A92F783"/>
    <w:rsid w:val="5AB44F63"/>
    <w:rsid w:val="5AC7A9FC"/>
    <w:rsid w:val="5ACCC440"/>
    <w:rsid w:val="5ACF1B10"/>
    <w:rsid w:val="5AE3ADD3"/>
    <w:rsid w:val="5AF45497"/>
    <w:rsid w:val="5AFF5B63"/>
    <w:rsid w:val="5B17FCC3"/>
    <w:rsid w:val="5B2473B4"/>
    <w:rsid w:val="5B2FB283"/>
    <w:rsid w:val="5B328F32"/>
    <w:rsid w:val="5B32F862"/>
    <w:rsid w:val="5B34F049"/>
    <w:rsid w:val="5B4C201A"/>
    <w:rsid w:val="5B628E5A"/>
    <w:rsid w:val="5B67D1B3"/>
    <w:rsid w:val="5B6E02B3"/>
    <w:rsid w:val="5B6ED3F9"/>
    <w:rsid w:val="5B756505"/>
    <w:rsid w:val="5B778527"/>
    <w:rsid w:val="5B7E5583"/>
    <w:rsid w:val="5B8A6F27"/>
    <w:rsid w:val="5B90F70C"/>
    <w:rsid w:val="5B93F1EA"/>
    <w:rsid w:val="5BA5FA74"/>
    <w:rsid w:val="5BB6D913"/>
    <w:rsid w:val="5BBB9303"/>
    <w:rsid w:val="5BC48CE5"/>
    <w:rsid w:val="5BC4FE2E"/>
    <w:rsid w:val="5BCFEF27"/>
    <w:rsid w:val="5BF0DD06"/>
    <w:rsid w:val="5BF4279B"/>
    <w:rsid w:val="5C0C5F0B"/>
    <w:rsid w:val="5C0C6A26"/>
    <w:rsid w:val="5C15F41D"/>
    <w:rsid w:val="5C18D2D2"/>
    <w:rsid w:val="5C1CAC46"/>
    <w:rsid w:val="5C1FCE56"/>
    <w:rsid w:val="5C3D62A3"/>
    <w:rsid w:val="5C4BDCBF"/>
    <w:rsid w:val="5C4D8BB8"/>
    <w:rsid w:val="5C4E9C94"/>
    <w:rsid w:val="5C790B4E"/>
    <w:rsid w:val="5C9CEEC4"/>
    <w:rsid w:val="5CA90D7A"/>
    <w:rsid w:val="5CAB5B7C"/>
    <w:rsid w:val="5CABA962"/>
    <w:rsid w:val="5CAF7186"/>
    <w:rsid w:val="5CB6E48F"/>
    <w:rsid w:val="5CBB5196"/>
    <w:rsid w:val="5CC2B554"/>
    <w:rsid w:val="5CC4D303"/>
    <w:rsid w:val="5CC5F4BC"/>
    <w:rsid w:val="5CD01D2F"/>
    <w:rsid w:val="5CD64085"/>
    <w:rsid w:val="5CD64CE1"/>
    <w:rsid w:val="5CDA35E3"/>
    <w:rsid w:val="5CDE2E58"/>
    <w:rsid w:val="5CE0BB12"/>
    <w:rsid w:val="5CE1AC88"/>
    <w:rsid w:val="5CE1C71C"/>
    <w:rsid w:val="5CF2D3F4"/>
    <w:rsid w:val="5CF5C7C4"/>
    <w:rsid w:val="5CFBF70A"/>
    <w:rsid w:val="5D01828F"/>
    <w:rsid w:val="5D129068"/>
    <w:rsid w:val="5D2D3422"/>
    <w:rsid w:val="5D321308"/>
    <w:rsid w:val="5D50F22C"/>
    <w:rsid w:val="5D606017"/>
    <w:rsid w:val="5D70B49F"/>
    <w:rsid w:val="5D712DA5"/>
    <w:rsid w:val="5D7811D0"/>
    <w:rsid w:val="5D7A196E"/>
    <w:rsid w:val="5D7D4A4B"/>
    <w:rsid w:val="5D80A81A"/>
    <w:rsid w:val="5D80BE8B"/>
    <w:rsid w:val="5D8C4C0C"/>
    <w:rsid w:val="5DD7C6B5"/>
    <w:rsid w:val="5DDBC74D"/>
    <w:rsid w:val="5DE0161A"/>
    <w:rsid w:val="5DEB517B"/>
    <w:rsid w:val="5DEE199E"/>
    <w:rsid w:val="5DF02BC1"/>
    <w:rsid w:val="5DF63095"/>
    <w:rsid w:val="5E256D32"/>
    <w:rsid w:val="5E279CDF"/>
    <w:rsid w:val="5E2DC90D"/>
    <w:rsid w:val="5E3380C3"/>
    <w:rsid w:val="5E35EDD0"/>
    <w:rsid w:val="5E4B466D"/>
    <w:rsid w:val="5E6331E5"/>
    <w:rsid w:val="5E6B5F7F"/>
    <w:rsid w:val="5E70BDD7"/>
    <w:rsid w:val="5E727EF2"/>
    <w:rsid w:val="5E7561C1"/>
    <w:rsid w:val="5E84DA05"/>
    <w:rsid w:val="5E87EE84"/>
    <w:rsid w:val="5E938F20"/>
    <w:rsid w:val="5E9BC806"/>
    <w:rsid w:val="5EAA4753"/>
    <w:rsid w:val="5EBE0F1E"/>
    <w:rsid w:val="5EC3A8E3"/>
    <w:rsid w:val="5EC7C6F8"/>
    <w:rsid w:val="5ECEFE0C"/>
    <w:rsid w:val="5ED29D2E"/>
    <w:rsid w:val="5ED35FA4"/>
    <w:rsid w:val="5EDA1A4C"/>
    <w:rsid w:val="5EDCEC6C"/>
    <w:rsid w:val="5EF236B5"/>
    <w:rsid w:val="5EF57024"/>
    <w:rsid w:val="5EF70BD2"/>
    <w:rsid w:val="5EFEDDF9"/>
    <w:rsid w:val="5F03301F"/>
    <w:rsid w:val="5F03DCA3"/>
    <w:rsid w:val="5F04239B"/>
    <w:rsid w:val="5F1A3F34"/>
    <w:rsid w:val="5F30046C"/>
    <w:rsid w:val="5F44CA94"/>
    <w:rsid w:val="5F59FE6A"/>
    <w:rsid w:val="5F5CA28D"/>
    <w:rsid w:val="5F639B4E"/>
    <w:rsid w:val="5F675608"/>
    <w:rsid w:val="5F6789DE"/>
    <w:rsid w:val="5F6D29E6"/>
    <w:rsid w:val="5F6DB896"/>
    <w:rsid w:val="5F712D00"/>
    <w:rsid w:val="5F71B49F"/>
    <w:rsid w:val="5F99994F"/>
    <w:rsid w:val="5FA3A712"/>
    <w:rsid w:val="5FBF46B2"/>
    <w:rsid w:val="5FC7D95D"/>
    <w:rsid w:val="5FE98173"/>
    <w:rsid w:val="60028750"/>
    <w:rsid w:val="60067478"/>
    <w:rsid w:val="600A43FE"/>
    <w:rsid w:val="600E2C70"/>
    <w:rsid w:val="600EAE96"/>
    <w:rsid w:val="602F3113"/>
    <w:rsid w:val="6030ADDF"/>
    <w:rsid w:val="603A6CAE"/>
    <w:rsid w:val="604DF18C"/>
    <w:rsid w:val="605898D2"/>
    <w:rsid w:val="605EAC02"/>
    <w:rsid w:val="6063C941"/>
    <w:rsid w:val="60666E5E"/>
    <w:rsid w:val="606815B8"/>
    <w:rsid w:val="606C3C7D"/>
    <w:rsid w:val="606F1B27"/>
    <w:rsid w:val="60750FA2"/>
    <w:rsid w:val="608D50AA"/>
    <w:rsid w:val="609C34C0"/>
    <w:rsid w:val="60B83146"/>
    <w:rsid w:val="60B94BAB"/>
    <w:rsid w:val="60C1FF3C"/>
    <w:rsid w:val="60DE1A41"/>
    <w:rsid w:val="60DE4F23"/>
    <w:rsid w:val="60DF621A"/>
    <w:rsid w:val="60E856DF"/>
    <w:rsid w:val="60EC7D6E"/>
    <w:rsid w:val="60F7597B"/>
    <w:rsid w:val="6109BE7F"/>
    <w:rsid w:val="61289D9D"/>
    <w:rsid w:val="61338CE3"/>
    <w:rsid w:val="613D9A23"/>
    <w:rsid w:val="614C5DDA"/>
    <w:rsid w:val="614C9C7A"/>
    <w:rsid w:val="6156C84D"/>
    <w:rsid w:val="616B15EC"/>
    <w:rsid w:val="619294B4"/>
    <w:rsid w:val="6192992B"/>
    <w:rsid w:val="619DFD0E"/>
    <w:rsid w:val="61B699A0"/>
    <w:rsid w:val="61BABE89"/>
    <w:rsid w:val="61BB13E4"/>
    <w:rsid w:val="61CA20B7"/>
    <w:rsid w:val="61CCB6F1"/>
    <w:rsid w:val="61DA5257"/>
    <w:rsid w:val="61DE6F1E"/>
    <w:rsid w:val="61DF2933"/>
    <w:rsid w:val="61E09757"/>
    <w:rsid w:val="61E20E80"/>
    <w:rsid w:val="61E4A056"/>
    <w:rsid w:val="61E93609"/>
    <w:rsid w:val="61EE6850"/>
    <w:rsid w:val="61EF8814"/>
    <w:rsid w:val="61F35B73"/>
    <w:rsid w:val="61F5F3F5"/>
    <w:rsid w:val="6214033B"/>
    <w:rsid w:val="621E9B9D"/>
    <w:rsid w:val="62203797"/>
    <w:rsid w:val="6220BF84"/>
    <w:rsid w:val="6230729C"/>
    <w:rsid w:val="62542E7E"/>
    <w:rsid w:val="62574278"/>
    <w:rsid w:val="6258A01F"/>
    <w:rsid w:val="62599453"/>
    <w:rsid w:val="625D8032"/>
    <w:rsid w:val="62666C3D"/>
    <w:rsid w:val="626DC2B3"/>
    <w:rsid w:val="6270C93C"/>
    <w:rsid w:val="627C850E"/>
    <w:rsid w:val="6280ACC4"/>
    <w:rsid w:val="6282BF11"/>
    <w:rsid w:val="62844E9E"/>
    <w:rsid w:val="628507E2"/>
    <w:rsid w:val="628F1B31"/>
    <w:rsid w:val="629064CF"/>
    <w:rsid w:val="629402CE"/>
    <w:rsid w:val="62A51971"/>
    <w:rsid w:val="62A61071"/>
    <w:rsid w:val="62B7EBB0"/>
    <w:rsid w:val="62BD5C1E"/>
    <w:rsid w:val="62C53ECD"/>
    <w:rsid w:val="62D1B1EF"/>
    <w:rsid w:val="62E77B7A"/>
    <w:rsid w:val="62F4E3B4"/>
    <w:rsid w:val="62FFB854"/>
    <w:rsid w:val="6327FE6B"/>
    <w:rsid w:val="63320B86"/>
    <w:rsid w:val="6335B2E8"/>
    <w:rsid w:val="6336EB07"/>
    <w:rsid w:val="63385E07"/>
    <w:rsid w:val="633C9F7E"/>
    <w:rsid w:val="634A6E1A"/>
    <w:rsid w:val="634BAB43"/>
    <w:rsid w:val="634DB363"/>
    <w:rsid w:val="634E6A97"/>
    <w:rsid w:val="6371408E"/>
    <w:rsid w:val="63797E73"/>
    <w:rsid w:val="638C7A95"/>
    <w:rsid w:val="63950172"/>
    <w:rsid w:val="639B34A5"/>
    <w:rsid w:val="639DC1D8"/>
    <w:rsid w:val="639EE84D"/>
    <w:rsid w:val="63A04C2D"/>
    <w:rsid w:val="63A3FCED"/>
    <w:rsid w:val="63A90213"/>
    <w:rsid w:val="63B53C43"/>
    <w:rsid w:val="63BBA2F3"/>
    <w:rsid w:val="63C2707B"/>
    <w:rsid w:val="63D99C56"/>
    <w:rsid w:val="63DC6D46"/>
    <w:rsid w:val="63DC9804"/>
    <w:rsid w:val="63DE1D70"/>
    <w:rsid w:val="63E39A8B"/>
    <w:rsid w:val="63E3A7F1"/>
    <w:rsid w:val="63F0C667"/>
    <w:rsid w:val="64012631"/>
    <w:rsid w:val="6409D8C7"/>
    <w:rsid w:val="640D1A4B"/>
    <w:rsid w:val="641232B5"/>
    <w:rsid w:val="6439AD14"/>
    <w:rsid w:val="643B29EA"/>
    <w:rsid w:val="64420C8C"/>
    <w:rsid w:val="64475B86"/>
    <w:rsid w:val="64520201"/>
    <w:rsid w:val="64729968"/>
    <w:rsid w:val="647B3C7F"/>
    <w:rsid w:val="648AACBA"/>
    <w:rsid w:val="648AAF26"/>
    <w:rsid w:val="64A2B1D2"/>
    <w:rsid w:val="64AB559D"/>
    <w:rsid w:val="64AFCE8B"/>
    <w:rsid w:val="64B77708"/>
    <w:rsid w:val="64BE12AE"/>
    <w:rsid w:val="64C9C90A"/>
    <w:rsid w:val="64CFD983"/>
    <w:rsid w:val="64E88236"/>
    <w:rsid w:val="64F73140"/>
    <w:rsid w:val="64F8492A"/>
    <w:rsid w:val="64FB4E67"/>
    <w:rsid w:val="65108C43"/>
    <w:rsid w:val="6527EB37"/>
    <w:rsid w:val="65399964"/>
    <w:rsid w:val="653A31DF"/>
    <w:rsid w:val="6546547A"/>
    <w:rsid w:val="655A05B9"/>
    <w:rsid w:val="656152F5"/>
    <w:rsid w:val="6566EB97"/>
    <w:rsid w:val="656C25CF"/>
    <w:rsid w:val="6576B1A7"/>
    <w:rsid w:val="657D8D17"/>
    <w:rsid w:val="6585ECB2"/>
    <w:rsid w:val="65917482"/>
    <w:rsid w:val="6598A3E4"/>
    <w:rsid w:val="659DD8DB"/>
    <w:rsid w:val="65A2C432"/>
    <w:rsid w:val="65A3DE74"/>
    <w:rsid w:val="65B0055D"/>
    <w:rsid w:val="65B32CED"/>
    <w:rsid w:val="65B3735C"/>
    <w:rsid w:val="65BA8E03"/>
    <w:rsid w:val="65C2C430"/>
    <w:rsid w:val="65CD951E"/>
    <w:rsid w:val="65D7A2C7"/>
    <w:rsid w:val="65DCE052"/>
    <w:rsid w:val="65E6BD0F"/>
    <w:rsid w:val="65FD2E1A"/>
    <w:rsid w:val="66003CCF"/>
    <w:rsid w:val="6601EFD3"/>
    <w:rsid w:val="660B6B0C"/>
    <w:rsid w:val="660C55A5"/>
    <w:rsid w:val="660D8EFA"/>
    <w:rsid w:val="660E94C7"/>
    <w:rsid w:val="66127387"/>
    <w:rsid w:val="6619B0FC"/>
    <w:rsid w:val="661B4D55"/>
    <w:rsid w:val="66201E16"/>
    <w:rsid w:val="662F8A49"/>
    <w:rsid w:val="66599FC0"/>
    <w:rsid w:val="66606E8C"/>
    <w:rsid w:val="6666B371"/>
    <w:rsid w:val="667E55F0"/>
    <w:rsid w:val="6688A58E"/>
    <w:rsid w:val="66891753"/>
    <w:rsid w:val="669198A1"/>
    <w:rsid w:val="66A2CA9F"/>
    <w:rsid w:val="66C4B909"/>
    <w:rsid w:val="66C66B78"/>
    <w:rsid w:val="66DFF59E"/>
    <w:rsid w:val="66E24475"/>
    <w:rsid w:val="66E3DF50"/>
    <w:rsid w:val="66E954E0"/>
    <w:rsid w:val="66F48C8D"/>
    <w:rsid w:val="66FF03F6"/>
    <w:rsid w:val="67031201"/>
    <w:rsid w:val="671B0699"/>
    <w:rsid w:val="671B8F60"/>
    <w:rsid w:val="671CEEB2"/>
    <w:rsid w:val="671D36CC"/>
    <w:rsid w:val="6721CE49"/>
    <w:rsid w:val="673555DA"/>
    <w:rsid w:val="67378752"/>
    <w:rsid w:val="673C0EF0"/>
    <w:rsid w:val="67539472"/>
    <w:rsid w:val="67550430"/>
    <w:rsid w:val="67574395"/>
    <w:rsid w:val="675FA825"/>
    <w:rsid w:val="676028DF"/>
    <w:rsid w:val="6767FA3E"/>
    <w:rsid w:val="676BB2B3"/>
    <w:rsid w:val="676D1CAF"/>
    <w:rsid w:val="67736A81"/>
    <w:rsid w:val="677FA8DE"/>
    <w:rsid w:val="6782E6EA"/>
    <w:rsid w:val="6786E03F"/>
    <w:rsid w:val="678FA620"/>
    <w:rsid w:val="679658E2"/>
    <w:rsid w:val="67ABD125"/>
    <w:rsid w:val="67ABE895"/>
    <w:rsid w:val="67B10238"/>
    <w:rsid w:val="67B2C52E"/>
    <w:rsid w:val="67BEBD5A"/>
    <w:rsid w:val="67C60ABF"/>
    <w:rsid w:val="67C7AF3B"/>
    <w:rsid w:val="67CC7298"/>
    <w:rsid w:val="67D62977"/>
    <w:rsid w:val="67D6F60B"/>
    <w:rsid w:val="67E04312"/>
    <w:rsid w:val="67EDDABB"/>
    <w:rsid w:val="67F9ABA3"/>
    <w:rsid w:val="6801F268"/>
    <w:rsid w:val="6802A059"/>
    <w:rsid w:val="6812F099"/>
    <w:rsid w:val="68188F10"/>
    <w:rsid w:val="681BB0C2"/>
    <w:rsid w:val="682051E1"/>
    <w:rsid w:val="6830315C"/>
    <w:rsid w:val="68353142"/>
    <w:rsid w:val="683A1405"/>
    <w:rsid w:val="683B2083"/>
    <w:rsid w:val="6841CC27"/>
    <w:rsid w:val="68421125"/>
    <w:rsid w:val="68520D54"/>
    <w:rsid w:val="686E0130"/>
    <w:rsid w:val="68759C23"/>
    <w:rsid w:val="6876E99B"/>
    <w:rsid w:val="6879B155"/>
    <w:rsid w:val="6879E147"/>
    <w:rsid w:val="687C5EB0"/>
    <w:rsid w:val="6880E133"/>
    <w:rsid w:val="6881C856"/>
    <w:rsid w:val="68830AED"/>
    <w:rsid w:val="689108F0"/>
    <w:rsid w:val="689514AB"/>
    <w:rsid w:val="68A3DED7"/>
    <w:rsid w:val="68B1247F"/>
    <w:rsid w:val="68B2AA5A"/>
    <w:rsid w:val="68CC0F2B"/>
    <w:rsid w:val="68D1C27C"/>
    <w:rsid w:val="68DE824C"/>
    <w:rsid w:val="68E271B1"/>
    <w:rsid w:val="68E3360C"/>
    <w:rsid w:val="68E3D9C1"/>
    <w:rsid w:val="68F336C6"/>
    <w:rsid w:val="690987CD"/>
    <w:rsid w:val="6927BAE6"/>
    <w:rsid w:val="6927D4B7"/>
    <w:rsid w:val="692B0A35"/>
    <w:rsid w:val="692B652C"/>
    <w:rsid w:val="69453FF2"/>
    <w:rsid w:val="695085FE"/>
    <w:rsid w:val="6952A356"/>
    <w:rsid w:val="69566120"/>
    <w:rsid w:val="69638448"/>
    <w:rsid w:val="697F9C2A"/>
    <w:rsid w:val="6981453A"/>
    <w:rsid w:val="6997C86D"/>
    <w:rsid w:val="69995FFC"/>
    <w:rsid w:val="69A3E3B0"/>
    <w:rsid w:val="69AFCF43"/>
    <w:rsid w:val="69B484B7"/>
    <w:rsid w:val="69C00641"/>
    <w:rsid w:val="69C681C0"/>
    <w:rsid w:val="69CCB027"/>
    <w:rsid w:val="69D0560C"/>
    <w:rsid w:val="69D539AA"/>
    <w:rsid w:val="69DC0517"/>
    <w:rsid w:val="69E48AE8"/>
    <w:rsid w:val="69E8D9E7"/>
    <w:rsid w:val="69EE8D1A"/>
    <w:rsid w:val="69F9CB1C"/>
    <w:rsid w:val="6A080C45"/>
    <w:rsid w:val="6A12E51E"/>
    <w:rsid w:val="6A217907"/>
    <w:rsid w:val="6A265225"/>
    <w:rsid w:val="6A2690DA"/>
    <w:rsid w:val="6A3A8793"/>
    <w:rsid w:val="6A40E531"/>
    <w:rsid w:val="6A41703B"/>
    <w:rsid w:val="6A56E084"/>
    <w:rsid w:val="6A61A4EC"/>
    <w:rsid w:val="6A6E826D"/>
    <w:rsid w:val="6A727F78"/>
    <w:rsid w:val="6A7477A9"/>
    <w:rsid w:val="6A848E7F"/>
    <w:rsid w:val="6AA8027F"/>
    <w:rsid w:val="6AAAEEC1"/>
    <w:rsid w:val="6AB1E783"/>
    <w:rsid w:val="6ADF6BA4"/>
    <w:rsid w:val="6ADFABEC"/>
    <w:rsid w:val="6AE9440E"/>
    <w:rsid w:val="6B01E120"/>
    <w:rsid w:val="6B21752A"/>
    <w:rsid w:val="6B382DD6"/>
    <w:rsid w:val="6B38C297"/>
    <w:rsid w:val="6B3F48A6"/>
    <w:rsid w:val="6B4A5735"/>
    <w:rsid w:val="6B5BA9A9"/>
    <w:rsid w:val="6B5D9736"/>
    <w:rsid w:val="6B6B5EEB"/>
    <w:rsid w:val="6B7A1E05"/>
    <w:rsid w:val="6B7AC261"/>
    <w:rsid w:val="6B822A4E"/>
    <w:rsid w:val="6B95D55E"/>
    <w:rsid w:val="6B9A6B3B"/>
    <w:rsid w:val="6BA12407"/>
    <w:rsid w:val="6BA3B79C"/>
    <w:rsid w:val="6BA921ED"/>
    <w:rsid w:val="6BA98B25"/>
    <w:rsid w:val="6BAAEBFF"/>
    <w:rsid w:val="6BB428FF"/>
    <w:rsid w:val="6BB9E8AD"/>
    <w:rsid w:val="6BC7A821"/>
    <w:rsid w:val="6BCF7509"/>
    <w:rsid w:val="6BD30D25"/>
    <w:rsid w:val="6BDE1A3F"/>
    <w:rsid w:val="6BE17BA6"/>
    <w:rsid w:val="6BE3FB70"/>
    <w:rsid w:val="6BF0EF6B"/>
    <w:rsid w:val="6C04D18D"/>
    <w:rsid w:val="6C157F01"/>
    <w:rsid w:val="6C18F033"/>
    <w:rsid w:val="6C2A239A"/>
    <w:rsid w:val="6C36E92A"/>
    <w:rsid w:val="6C383757"/>
    <w:rsid w:val="6C42D4A1"/>
    <w:rsid w:val="6C46B445"/>
    <w:rsid w:val="6C5402D8"/>
    <w:rsid w:val="6C5B131D"/>
    <w:rsid w:val="6C5C115B"/>
    <w:rsid w:val="6C5CE386"/>
    <w:rsid w:val="6C60A052"/>
    <w:rsid w:val="6C65B817"/>
    <w:rsid w:val="6C816816"/>
    <w:rsid w:val="6C86151C"/>
    <w:rsid w:val="6C89FBD1"/>
    <w:rsid w:val="6C8F1FB7"/>
    <w:rsid w:val="6C922482"/>
    <w:rsid w:val="6C954E3E"/>
    <w:rsid w:val="6CA2F7EA"/>
    <w:rsid w:val="6CAEAE99"/>
    <w:rsid w:val="6CAFF58F"/>
    <w:rsid w:val="6CC6A639"/>
    <w:rsid w:val="6CD992C1"/>
    <w:rsid w:val="6CF2E03A"/>
    <w:rsid w:val="6D02B3EE"/>
    <w:rsid w:val="6D047CB4"/>
    <w:rsid w:val="6D05BB5B"/>
    <w:rsid w:val="6D0802C0"/>
    <w:rsid w:val="6D0AD1A7"/>
    <w:rsid w:val="6D0EFB92"/>
    <w:rsid w:val="6D10D5A6"/>
    <w:rsid w:val="6D154DF6"/>
    <w:rsid w:val="6D22310A"/>
    <w:rsid w:val="6D2E85E7"/>
    <w:rsid w:val="6D3C779F"/>
    <w:rsid w:val="6D4A961A"/>
    <w:rsid w:val="6D524E58"/>
    <w:rsid w:val="6D643EA7"/>
    <w:rsid w:val="6D6BA94B"/>
    <w:rsid w:val="6D6BB5B6"/>
    <w:rsid w:val="6D6D0503"/>
    <w:rsid w:val="6D745616"/>
    <w:rsid w:val="6D77DD0A"/>
    <w:rsid w:val="6D7A33B4"/>
    <w:rsid w:val="6D7A42A2"/>
    <w:rsid w:val="6D83358F"/>
    <w:rsid w:val="6D97E7C9"/>
    <w:rsid w:val="6D9E6A14"/>
    <w:rsid w:val="6DAE949C"/>
    <w:rsid w:val="6DBF998A"/>
    <w:rsid w:val="6DD94EBE"/>
    <w:rsid w:val="6DF227B1"/>
    <w:rsid w:val="6DF37C9B"/>
    <w:rsid w:val="6E167A88"/>
    <w:rsid w:val="6E2E5183"/>
    <w:rsid w:val="6E4330E6"/>
    <w:rsid w:val="6E4FDE23"/>
    <w:rsid w:val="6E5EBFDB"/>
    <w:rsid w:val="6E610FC3"/>
    <w:rsid w:val="6E6B2E5F"/>
    <w:rsid w:val="6E70A632"/>
    <w:rsid w:val="6E914E09"/>
    <w:rsid w:val="6E915645"/>
    <w:rsid w:val="6E91FA93"/>
    <w:rsid w:val="6E9CECD6"/>
    <w:rsid w:val="6EA127E6"/>
    <w:rsid w:val="6EAA830D"/>
    <w:rsid w:val="6EB3BE44"/>
    <w:rsid w:val="6EB3D5D8"/>
    <w:rsid w:val="6EC2631F"/>
    <w:rsid w:val="6EC4FA1B"/>
    <w:rsid w:val="6ED2E6FD"/>
    <w:rsid w:val="6ED41E93"/>
    <w:rsid w:val="6EDDD26A"/>
    <w:rsid w:val="6EE3C0B5"/>
    <w:rsid w:val="6EE70B82"/>
    <w:rsid w:val="6EFCFC59"/>
    <w:rsid w:val="6F035DE1"/>
    <w:rsid w:val="6F03AF26"/>
    <w:rsid w:val="6F041B48"/>
    <w:rsid w:val="6F1340D6"/>
    <w:rsid w:val="6F15024A"/>
    <w:rsid w:val="6F157922"/>
    <w:rsid w:val="6F16B531"/>
    <w:rsid w:val="6F1749FC"/>
    <w:rsid w:val="6F1BBF31"/>
    <w:rsid w:val="6F2A5212"/>
    <w:rsid w:val="6F2C1D65"/>
    <w:rsid w:val="6F3FAB65"/>
    <w:rsid w:val="6F47146B"/>
    <w:rsid w:val="6F62DA8D"/>
    <w:rsid w:val="6F68E653"/>
    <w:rsid w:val="6F6B3BB4"/>
    <w:rsid w:val="6F7133F1"/>
    <w:rsid w:val="6F899ECD"/>
    <w:rsid w:val="6F923D17"/>
    <w:rsid w:val="6FAFB233"/>
    <w:rsid w:val="6FB6451E"/>
    <w:rsid w:val="6FB72400"/>
    <w:rsid w:val="6FBE5C7B"/>
    <w:rsid w:val="6FBEC658"/>
    <w:rsid w:val="6FBF8206"/>
    <w:rsid w:val="6FBFBC11"/>
    <w:rsid w:val="6FCA26CB"/>
    <w:rsid w:val="6FD87A98"/>
    <w:rsid w:val="6FDE4A17"/>
    <w:rsid w:val="6FE69712"/>
    <w:rsid w:val="701224CD"/>
    <w:rsid w:val="70357572"/>
    <w:rsid w:val="704B4FAA"/>
    <w:rsid w:val="704E2521"/>
    <w:rsid w:val="7068CA42"/>
    <w:rsid w:val="706B2849"/>
    <w:rsid w:val="706DAC59"/>
    <w:rsid w:val="7074D89B"/>
    <w:rsid w:val="70955079"/>
    <w:rsid w:val="709BB398"/>
    <w:rsid w:val="70A0EE9F"/>
    <w:rsid w:val="70A2BFE2"/>
    <w:rsid w:val="70A6FADF"/>
    <w:rsid w:val="70BDCBD4"/>
    <w:rsid w:val="70CCA474"/>
    <w:rsid w:val="70D628C2"/>
    <w:rsid w:val="70DB8CCA"/>
    <w:rsid w:val="70DC7F20"/>
    <w:rsid w:val="70DD20B9"/>
    <w:rsid w:val="710B2403"/>
    <w:rsid w:val="711032E2"/>
    <w:rsid w:val="711056C2"/>
    <w:rsid w:val="7128C1B9"/>
    <w:rsid w:val="712F7213"/>
    <w:rsid w:val="7131102D"/>
    <w:rsid w:val="71320A54"/>
    <w:rsid w:val="71342BA8"/>
    <w:rsid w:val="714064E2"/>
    <w:rsid w:val="71428E50"/>
    <w:rsid w:val="716FA786"/>
    <w:rsid w:val="7189F72C"/>
    <w:rsid w:val="718D75E8"/>
    <w:rsid w:val="718E4D51"/>
    <w:rsid w:val="719671FD"/>
    <w:rsid w:val="71BD7906"/>
    <w:rsid w:val="71C57A70"/>
    <w:rsid w:val="71D251A0"/>
    <w:rsid w:val="71F5C950"/>
    <w:rsid w:val="71F67070"/>
    <w:rsid w:val="71F6E0AA"/>
    <w:rsid w:val="720FA3EA"/>
    <w:rsid w:val="72121B73"/>
    <w:rsid w:val="7227D665"/>
    <w:rsid w:val="72432064"/>
    <w:rsid w:val="725C2AB3"/>
    <w:rsid w:val="725E22D2"/>
    <w:rsid w:val="72619B43"/>
    <w:rsid w:val="72705067"/>
    <w:rsid w:val="727AFD05"/>
    <w:rsid w:val="7293C491"/>
    <w:rsid w:val="72974FF1"/>
    <w:rsid w:val="729CA22B"/>
    <w:rsid w:val="72A22586"/>
    <w:rsid w:val="72A7E54C"/>
    <w:rsid w:val="72B903FA"/>
    <w:rsid w:val="72BB5EAD"/>
    <w:rsid w:val="72BC062C"/>
    <w:rsid w:val="72C16A5D"/>
    <w:rsid w:val="72C97866"/>
    <w:rsid w:val="72D5ED9D"/>
    <w:rsid w:val="72D7E490"/>
    <w:rsid w:val="72D9B082"/>
    <w:rsid w:val="72F6344A"/>
    <w:rsid w:val="72F7D8EC"/>
    <w:rsid w:val="72F88BFE"/>
    <w:rsid w:val="72F9AB75"/>
    <w:rsid w:val="7302B8D2"/>
    <w:rsid w:val="730375F2"/>
    <w:rsid w:val="73072643"/>
    <w:rsid w:val="730862D3"/>
    <w:rsid w:val="7312A3AC"/>
    <w:rsid w:val="731D1120"/>
    <w:rsid w:val="73200D46"/>
    <w:rsid w:val="73202DE1"/>
    <w:rsid w:val="732D80B0"/>
    <w:rsid w:val="7347300F"/>
    <w:rsid w:val="735D46DB"/>
    <w:rsid w:val="7360B8C9"/>
    <w:rsid w:val="737212FF"/>
    <w:rsid w:val="7374AFA8"/>
    <w:rsid w:val="737A6585"/>
    <w:rsid w:val="73801911"/>
    <w:rsid w:val="7388FC4D"/>
    <w:rsid w:val="738F49FB"/>
    <w:rsid w:val="739C2C1E"/>
    <w:rsid w:val="739C7059"/>
    <w:rsid w:val="73BC674E"/>
    <w:rsid w:val="73C3DE9E"/>
    <w:rsid w:val="73D4BDB4"/>
    <w:rsid w:val="73DB58AE"/>
    <w:rsid w:val="73E35CE7"/>
    <w:rsid w:val="73F53207"/>
    <w:rsid w:val="7401B17F"/>
    <w:rsid w:val="7402B3F3"/>
    <w:rsid w:val="7404ECC8"/>
    <w:rsid w:val="74231706"/>
    <w:rsid w:val="7426EBCB"/>
    <w:rsid w:val="742D3CAE"/>
    <w:rsid w:val="743AFF6B"/>
    <w:rsid w:val="743C1086"/>
    <w:rsid w:val="74413509"/>
    <w:rsid w:val="74432FCE"/>
    <w:rsid w:val="7445F5C2"/>
    <w:rsid w:val="745C7073"/>
    <w:rsid w:val="74627971"/>
    <w:rsid w:val="746A2481"/>
    <w:rsid w:val="747B3393"/>
    <w:rsid w:val="747F7B65"/>
    <w:rsid w:val="74820B25"/>
    <w:rsid w:val="74853E04"/>
    <w:rsid w:val="7487C9F6"/>
    <w:rsid w:val="7487E1A6"/>
    <w:rsid w:val="748ACB9D"/>
    <w:rsid w:val="748C3B10"/>
    <w:rsid w:val="748C618A"/>
    <w:rsid w:val="749ED5CF"/>
    <w:rsid w:val="74A57CA7"/>
    <w:rsid w:val="74B295EE"/>
    <w:rsid w:val="74BAFBA2"/>
    <w:rsid w:val="74C78979"/>
    <w:rsid w:val="74C93241"/>
    <w:rsid w:val="74EF86C3"/>
    <w:rsid w:val="74F0EFFE"/>
    <w:rsid w:val="74FC4D65"/>
    <w:rsid w:val="7504029B"/>
    <w:rsid w:val="7511D0A9"/>
    <w:rsid w:val="75152367"/>
    <w:rsid w:val="7515535C"/>
    <w:rsid w:val="752CF097"/>
    <w:rsid w:val="7539747B"/>
    <w:rsid w:val="753E32F5"/>
    <w:rsid w:val="754482BC"/>
    <w:rsid w:val="754FA93F"/>
    <w:rsid w:val="754FE42E"/>
    <w:rsid w:val="75504BD1"/>
    <w:rsid w:val="755FB93E"/>
    <w:rsid w:val="75680ED4"/>
    <w:rsid w:val="7568D584"/>
    <w:rsid w:val="757C86F5"/>
    <w:rsid w:val="758CFFC1"/>
    <w:rsid w:val="75C38583"/>
    <w:rsid w:val="75C99D6C"/>
    <w:rsid w:val="75D43307"/>
    <w:rsid w:val="75D4B98F"/>
    <w:rsid w:val="75D51433"/>
    <w:rsid w:val="75DD8F57"/>
    <w:rsid w:val="75E09E41"/>
    <w:rsid w:val="75EF3688"/>
    <w:rsid w:val="75F1AC86"/>
    <w:rsid w:val="75F898AB"/>
    <w:rsid w:val="75FA987F"/>
    <w:rsid w:val="7607CECE"/>
    <w:rsid w:val="761F85AC"/>
    <w:rsid w:val="76218F4B"/>
    <w:rsid w:val="7627E1CE"/>
    <w:rsid w:val="762D239B"/>
    <w:rsid w:val="763D77DE"/>
    <w:rsid w:val="763E7DEB"/>
    <w:rsid w:val="7642B365"/>
    <w:rsid w:val="7649B704"/>
    <w:rsid w:val="764E71F2"/>
    <w:rsid w:val="764FB3C1"/>
    <w:rsid w:val="7661D562"/>
    <w:rsid w:val="768A242F"/>
    <w:rsid w:val="768EF976"/>
    <w:rsid w:val="768FF49C"/>
    <w:rsid w:val="76924F7E"/>
    <w:rsid w:val="76A57A7F"/>
    <w:rsid w:val="76AAAC1C"/>
    <w:rsid w:val="76ACA776"/>
    <w:rsid w:val="76B2F581"/>
    <w:rsid w:val="76B38F56"/>
    <w:rsid w:val="76B50547"/>
    <w:rsid w:val="76B97DF5"/>
    <w:rsid w:val="76C142A6"/>
    <w:rsid w:val="76E7A3FB"/>
    <w:rsid w:val="76F07D5A"/>
    <w:rsid w:val="76FBB964"/>
    <w:rsid w:val="76FCC1E7"/>
    <w:rsid w:val="76FD4803"/>
    <w:rsid w:val="774A8034"/>
    <w:rsid w:val="7752AFC6"/>
    <w:rsid w:val="7754C0E1"/>
    <w:rsid w:val="775DF8BF"/>
    <w:rsid w:val="775F44D9"/>
    <w:rsid w:val="77715CE9"/>
    <w:rsid w:val="777CCCE2"/>
    <w:rsid w:val="777D65A1"/>
    <w:rsid w:val="778D7289"/>
    <w:rsid w:val="77917737"/>
    <w:rsid w:val="7792B19B"/>
    <w:rsid w:val="77983A7A"/>
    <w:rsid w:val="77A25B08"/>
    <w:rsid w:val="77A32F3B"/>
    <w:rsid w:val="77B12540"/>
    <w:rsid w:val="77BF38E4"/>
    <w:rsid w:val="77CF405B"/>
    <w:rsid w:val="77D446B6"/>
    <w:rsid w:val="77DBCD91"/>
    <w:rsid w:val="77E803EA"/>
    <w:rsid w:val="77EF31E5"/>
    <w:rsid w:val="77F4C5EB"/>
    <w:rsid w:val="77F8EEEA"/>
    <w:rsid w:val="780B40F2"/>
    <w:rsid w:val="781772A7"/>
    <w:rsid w:val="781F019F"/>
    <w:rsid w:val="7822696A"/>
    <w:rsid w:val="7823CBCD"/>
    <w:rsid w:val="782AC7C7"/>
    <w:rsid w:val="782B4A6F"/>
    <w:rsid w:val="78427CED"/>
    <w:rsid w:val="78516DB4"/>
    <w:rsid w:val="7867CBA8"/>
    <w:rsid w:val="786A2F8B"/>
    <w:rsid w:val="786B6B0C"/>
    <w:rsid w:val="7870427F"/>
    <w:rsid w:val="7870CB75"/>
    <w:rsid w:val="78795C00"/>
    <w:rsid w:val="787CF9A5"/>
    <w:rsid w:val="788D3F32"/>
    <w:rsid w:val="78A32EB4"/>
    <w:rsid w:val="78A77678"/>
    <w:rsid w:val="78B2A882"/>
    <w:rsid w:val="78C9FF77"/>
    <w:rsid w:val="78D5AEFB"/>
    <w:rsid w:val="78D80D68"/>
    <w:rsid w:val="78D819BF"/>
    <w:rsid w:val="78E868CE"/>
    <w:rsid w:val="78F26C78"/>
    <w:rsid w:val="78F84A35"/>
    <w:rsid w:val="7900253D"/>
    <w:rsid w:val="790AF195"/>
    <w:rsid w:val="7911CB7C"/>
    <w:rsid w:val="7927B185"/>
    <w:rsid w:val="79283129"/>
    <w:rsid w:val="792F228B"/>
    <w:rsid w:val="7933B816"/>
    <w:rsid w:val="79358CDA"/>
    <w:rsid w:val="794A1E74"/>
    <w:rsid w:val="79627143"/>
    <w:rsid w:val="7962E9CF"/>
    <w:rsid w:val="7980988C"/>
    <w:rsid w:val="798AAE75"/>
    <w:rsid w:val="798D9A3F"/>
    <w:rsid w:val="798DB85C"/>
    <w:rsid w:val="7992E2E6"/>
    <w:rsid w:val="79936668"/>
    <w:rsid w:val="79958CAB"/>
    <w:rsid w:val="799711F8"/>
    <w:rsid w:val="799FA4AD"/>
    <w:rsid w:val="79A2F919"/>
    <w:rsid w:val="79A59A54"/>
    <w:rsid w:val="79B3E93C"/>
    <w:rsid w:val="79BA266F"/>
    <w:rsid w:val="79E39FC0"/>
    <w:rsid w:val="79E61156"/>
    <w:rsid w:val="79F36034"/>
    <w:rsid w:val="79F8E4A5"/>
    <w:rsid w:val="7A059104"/>
    <w:rsid w:val="7A08CA6A"/>
    <w:rsid w:val="7A0FC235"/>
    <w:rsid w:val="7A144166"/>
    <w:rsid w:val="7A2373ED"/>
    <w:rsid w:val="7A3D47F5"/>
    <w:rsid w:val="7A413018"/>
    <w:rsid w:val="7A47C739"/>
    <w:rsid w:val="7A48F1C4"/>
    <w:rsid w:val="7A52BD40"/>
    <w:rsid w:val="7A65EAB5"/>
    <w:rsid w:val="7A746585"/>
    <w:rsid w:val="7A861252"/>
    <w:rsid w:val="7AA848A0"/>
    <w:rsid w:val="7AAD0575"/>
    <w:rsid w:val="7AB28C5E"/>
    <w:rsid w:val="7ABD32FD"/>
    <w:rsid w:val="7ABE0C10"/>
    <w:rsid w:val="7AC9CED9"/>
    <w:rsid w:val="7AD52363"/>
    <w:rsid w:val="7AD81915"/>
    <w:rsid w:val="7AE20D56"/>
    <w:rsid w:val="7AE3DE45"/>
    <w:rsid w:val="7AE41613"/>
    <w:rsid w:val="7AE84DF6"/>
    <w:rsid w:val="7AEB7826"/>
    <w:rsid w:val="7B05ABB1"/>
    <w:rsid w:val="7B0A6F14"/>
    <w:rsid w:val="7B14B375"/>
    <w:rsid w:val="7B16B728"/>
    <w:rsid w:val="7B21482B"/>
    <w:rsid w:val="7B50F196"/>
    <w:rsid w:val="7B555EDE"/>
    <w:rsid w:val="7B75D4D7"/>
    <w:rsid w:val="7B7688E0"/>
    <w:rsid w:val="7B7F87A4"/>
    <w:rsid w:val="7B809C8A"/>
    <w:rsid w:val="7B8262E5"/>
    <w:rsid w:val="7B8C6EC2"/>
    <w:rsid w:val="7B8CFF49"/>
    <w:rsid w:val="7B8F1B33"/>
    <w:rsid w:val="7B92DBE1"/>
    <w:rsid w:val="7BC5F393"/>
    <w:rsid w:val="7BCDB493"/>
    <w:rsid w:val="7BD5634D"/>
    <w:rsid w:val="7BDE6568"/>
    <w:rsid w:val="7BE1939E"/>
    <w:rsid w:val="7C086012"/>
    <w:rsid w:val="7C0AF5DB"/>
    <w:rsid w:val="7C14F857"/>
    <w:rsid w:val="7C24A753"/>
    <w:rsid w:val="7C375B5D"/>
    <w:rsid w:val="7C382CAE"/>
    <w:rsid w:val="7C3D711E"/>
    <w:rsid w:val="7C55B3C4"/>
    <w:rsid w:val="7C58FA19"/>
    <w:rsid w:val="7C5A359D"/>
    <w:rsid w:val="7C6806BB"/>
    <w:rsid w:val="7C696EF9"/>
    <w:rsid w:val="7C737667"/>
    <w:rsid w:val="7C8E6FC8"/>
    <w:rsid w:val="7C9C3C54"/>
    <w:rsid w:val="7C9D05FD"/>
    <w:rsid w:val="7CAA33C1"/>
    <w:rsid w:val="7CAB13A6"/>
    <w:rsid w:val="7CC17E39"/>
    <w:rsid w:val="7CC75575"/>
    <w:rsid w:val="7CC9D60F"/>
    <w:rsid w:val="7CDAFF05"/>
    <w:rsid w:val="7CE624A0"/>
    <w:rsid w:val="7CE88790"/>
    <w:rsid w:val="7CEEF331"/>
    <w:rsid w:val="7CF4F486"/>
    <w:rsid w:val="7CF6C213"/>
    <w:rsid w:val="7CF9AF87"/>
    <w:rsid w:val="7D0184F7"/>
    <w:rsid w:val="7D0BAFFF"/>
    <w:rsid w:val="7D0BDAB5"/>
    <w:rsid w:val="7D18FFB4"/>
    <w:rsid w:val="7D1D6DA7"/>
    <w:rsid w:val="7D2850D3"/>
    <w:rsid w:val="7D380D0A"/>
    <w:rsid w:val="7D3FBCE7"/>
    <w:rsid w:val="7D41DAE4"/>
    <w:rsid w:val="7D43E074"/>
    <w:rsid w:val="7D514B57"/>
    <w:rsid w:val="7D59D706"/>
    <w:rsid w:val="7D6ADCC2"/>
    <w:rsid w:val="7D6FF054"/>
    <w:rsid w:val="7D6FF0AB"/>
    <w:rsid w:val="7D74D188"/>
    <w:rsid w:val="7D764C92"/>
    <w:rsid w:val="7D7BF2EC"/>
    <w:rsid w:val="7D83A07E"/>
    <w:rsid w:val="7D91CF39"/>
    <w:rsid w:val="7D9AC6D3"/>
    <w:rsid w:val="7D9DCC87"/>
    <w:rsid w:val="7DA4F402"/>
    <w:rsid w:val="7DA6D9AF"/>
    <w:rsid w:val="7DAA0CEC"/>
    <w:rsid w:val="7DC23F6A"/>
    <w:rsid w:val="7DC7AEFB"/>
    <w:rsid w:val="7DCB75B3"/>
    <w:rsid w:val="7DD23A30"/>
    <w:rsid w:val="7DD6CC7C"/>
    <w:rsid w:val="7DD7A55C"/>
    <w:rsid w:val="7DDFF0EA"/>
    <w:rsid w:val="7DEC8109"/>
    <w:rsid w:val="7E0F0692"/>
    <w:rsid w:val="7E11C71C"/>
    <w:rsid w:val="7E182E06"/>
    <w:rsid w:val="7E45D545"/>
    <w:rsid w:val="7E4D481E"/>
    <w:rsid w:val="7E4D566F"/>
    <w:rsid w:val="7E4D982F"/>
    <w:rsid w:val="7E4FF8A1"/>
    <w:rsid w:val="7E55A27A"/>
    <w:rsid w:val="7E616805"/>
    <w:rsid w:val="7E61798C"/>
    <w:rsid w:val="7E69AC59"/>
    <w:rsid w:val="7E6CA4E0"/>
    <w:rsid w:val="7E751980"/>
    <w:rsid w:val="7E7E196E"/>
    <w:rsid w:val="7E874650"/>
    <w:rsid w:val="7E89B4F8"/>
    <w:rsid w:val="7EA3A0CA"/>
    <w:rsid w:val="7EAFF75C"/>
    <w:rsid w:val="7EBB2EB7"/>
    <w:rsid w:val="7EBC57BA"/>
    <w:rsid w:val="7ED8622A"/>
    <w:rsid w:val="7EE9351A"/>
    <w:rsid w:val="7EF8BD84"/>
    <w:rsid w:val="7F0CCECA"/>
    <w:rsid w:val="7F1A6E09"/>
    <w:rsid w:val="7F2CAC95"/>
    <w:rsid w:val="7F44475D"/>
    <w:rsid w:val="7F46654C"/>
    <w:rsid w:val="7F50F974"/>
    <w:rsid w:val="7F61E6CD"/>
    <w:rsid w:val="7F64FB56"/>
    <w:rsid w:val="7F718201"/>
    <w:rsid w:val="7F7C6D04"/>
    <w:rsid w:val="7F7F5785"/>
    <w:rsid w:val="7F9AA397"/>
    <w:rsid w:val="7FAD47D4"/>
    <w:rsid w:val="7FB6C9E3"/>
    <w:rsid w:val="7FB7D234"/>
    <w:rsid w:val="7FC9B20A"/>
    <w:rsid w:val="7FC9CB58"/>
    <w:rsid w:val="7FCB078A"/>
    <w:rsid w:val="7FE2C3B3"/>
    <w:rsid w:val="7FE77323"/>
    <w:rsid w:val="7FF37DFD"/>
    <w:rsid w:val="7FF994E7"/>
  </w:rsids>
  <m:mathPr>
    <m:mathFont m:val="Cambria Math"/>
    <m:brkBin m:val="before"/>
    <m:brkBinSub m:val="--"/>
    <m:smallFrac m:val="0"/>
    <m:dispDef/>
    <m:lMargin m:val="0"/>
    <m:rMargin m:val="0"/>
    <m:defJc m:val="centerGroup"/>
    <m:wrapIndent m:val="1440"/>
    <m:intLim m:val="subSup"/>
    <m:naryLim m:val="undOvr"/>
  </m:mathPr>
  <w:themeFontLang w:val="en-Z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34FAEE"/>
  <w15:docId w15:val="{925EFABD-57A2-439D-85A1-B51410AC3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251BE3F0"/>
    <w:rPr>
      <w:rFonts w:ascii="Arial MT" w:eastAsia="Arial MT" w:hAnsi="Arial MT" w:cs="Arial MT"/>
      <w:lang w:val="en-ZA"/>
    </w:rPr>
  </w:style>
  <w:style w:type="paragraph" w:styleId="Heading1">
    <w:name w:val="heading 1"/>
    <w:basedOn w:val="Normal"/>
    <w:link w:val="Heading1Char"/>
    <w:uiPriority w:val="9"/>
    <w:qFormat/>
    <w:rsid w:val="251BE3F0"/>
    <w:pPr>
      <w:spacing w:before="248"/>
      <w:ind w:left="1460"/>
      <w:outlineLvl w:val="0"/>
    </w:pPr>
    <w:rPr>
      <w:rFonts w:ascii="Arial" w:eastAsia="Arial" w:hAnsi="Arial" w:cs="Arial"/>
      <w:b/>
      <w:bCs/>
      <w:sz w:val="26"/>
      <w:szCs w:val="26"/>
      <w:lang w:val="en-US"/>
    </w:rPr>
  </w:style>
  <w:style w:type="paragraph" w:styleId="Heading2">
    <w:name w:val="heading 2"/>
    <w:basedOn w:val="Normal"/>
    <w:link w:val="Heading2Char"/>
    <w:uiPriority w:val="9"/>
    <w:unhideWhenUsed/>
    <w:qFormat/>
    <w:rsid w:val="251BE3F0"/>
    <w:pPr>
      <w:ind w:left="579" w:hanging="340"/>
      <w:outlineLvl w:val="1"/>
    </w:pPr>
    <w:rPr>
      <w:rFonts w:ascii="Arial" w:eastAsia="Arial" w:hAnsi="Arial" w:cs="Arial"/>
      <w:b/>
      <w:bCs/>
      <w:lang w:val="en-US"/>
    </w:rPr>
  </w:style>
  <w:style w:type="paragraph" w:styleId="Heading3">
    <w:name w:val="heading 3"/>
    <w:basedOn w:val="Normal"/>
    <w:link w:val="Heading3Char"/>
    <w:uiPriority w:val="9"/>
    <w:unhideWhenUsed/>
    <w:qFormat/>
    <w:rsid w:val="251BE3F0"/>
    <w:pPr>
      <w:spacing w:before="32"/>
      <w:ind w:left="831" w:hanging="340"/>
      <w:outlineLvl w:val="2"/>
    </w:pPr>
    <w:rPr>
      <w:rFonts w:ascii="Arial" w:eastAsia="Arial" w:hAnsi="Arial" w:cs="Arial"/>
      <w:b/>
      <w:bCs/>
      <w:sz w:val="21"/>
      <w:szCs w:val="21"/>
      <w:lang w:val="en-US"/>
    </w:rPr>
  </w:style>
  <w:style w:type="paragraph" w:styleId="Heading4">
    <w:name w:val="heading 4"/>
    <w:basedOn w:val="Normal"/>
    <w:next w:val="Normal"/>
    <w:uiPriority w:val="9"/>
    <w:unhideWhenUsed/>
    <w:qFormat/>
    <w:rsid w:val="251BE3F0"/>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unhideWhenUsed/>
    <w:qFormat/>
    <w:rsid w:val="251BE3F0"/>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uiPriority w:val="9"/>
    <w:unhideWhenUsed/>
    <w:qFormat/>
    <w:rsid w:val="251BE3F0"/>
    <w:pPr>
      <w:keepNext/>
      <w:keepLines/>
      <w:spacing w:before="40"/>
      <w:outlineLvl w:val="5"/>
    </w:pPr>
    <w:rPr>
      <w:rFonts w:asciiTheme="majorHAnsi" w:eastAsiaTheme="majorEastAsia" w:hAnsiTheme="majorHAnsi" w:cstheme="majorBidi"/>
      <w:color w:val="243F60"/>
    </w:rPr>
  </w:style>
  <w:style w:type="paragraph" w:styleId="Heading7">
    <w:name w:val="heading 7"/>
    <w:basedOn w:val="Normal"/>
    <w:next w:val="Normal"/>
    <w:uiPriority w:val="9"/>
    <w:unhideWhenUsed/>
    <w:qFormat/>
    <w:rsid w:val="251BE3F0"/>
    <w:pPr>
      <w:keepNext/>
      <w:keepLines/>
      <w:spacing w:before="40"/>
      <w:outlineLvl w:val="6"/>
    </w:pPr>
    <w:rPr>
      <w:rFonts w:asciiTheme="majorHAnsi" w:eastAsiaTheme="majorEastAsia" w:hAnsiTheme="majorHAnsi" w:cstheme="majorBidi"/>
      <w:i/>
      <w:iCs/>
      <w:color w:val="243F60"/>
    </w:rPr>
  </w:style>
  <w:style w:type="paragraph" w:styleId="Heading8">
    <w:name w:val="heading 8"/>
    <w:basedOn w:val="Normal"/>
    <w:next w:val="Normal"/>
    <w:uiPriority w:val="9"/>
    <w:unhideWhenUsed/>
    <w:qFormat/>
    <w:rsid w:val="251BE3F0"/>
    <w:pPr>
      <w:keepNext/>
      <w:keepLines/>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uiPriority w:val="9"/>
    <w:unhideWhenUsed/>
    <w:qFormat/>
    <w:rsid w:val="251BE3F0"/>
    <w:pPr>
      <w:keepNext/>
      <w:keepLines/>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251BE3F0"/>
    <w:pPr>
      <w:spacing w:before="157"/>
      <w:ind w:left="531" w:hanging="378"/>
    </w:pPr>
    <w:rPr>
      <w:rFonts w:ascii="Calibri" w:eastAsia="Calibri" w:hAnsi="Calibri" w:cs="Calibri"/>
      <w:b/>
      <w:bCs/>
      <w:sz w:val="18"/>
      <w:szCs w:val="18"/>
      <w:lang w:val="en-US"/>
    </w:rPr>
  </w:style>
  <w:style w:type="paragraph" w:styleId="TOC2">
    <w:name w:val="toc 2"/>
    <w:basedOn w:val="Normal"/>
    <w:uiPriority w:val="39"/>
    <w:qFormat/>
    <w:rsid w:val="251BE3F0"/>
    <w:pPr>
      <w:spacing w:before="44"/>
      <w:ind w:left="905" w:hanging="565"/>
    </w:pPr>
    <w:rPr>
      <w:rFonts w:ascii="Calibri" w:eastAsia="Calibri" w:hAnsi="Calibri" w:cs="Calibri"/>
      <w:sz w:val="18"/>
      <w:szCs w:val="18"/>
      <w:lang w:val="en-US"/>
    </w:rPr>
  </w:style>
  <w:style w:type="paragraph" w:styleId="TOC3">
    <w:name w:val="toc 3"/>
    <w:basedOn w:val="Normal"/>
    <w:uiPriority w:val="39"/>
    <w:qFormat/>
    <w:rsid w:val="251BE3F0"/>
    <w:pPr>
      <w:spacing w:before="44"/>
      <w:ind w:left="905" w:hanging="565"/>
    </w:pPr>
    <w:rPr>
      <w:rFonts w:ascii="Calibri" w:eastAsia="Calibri" w:hAnsi="Calibri" w:cs="Calibri"/>
      <w:sz w:val="15"/>
      <w:szCs w:val="15"/>
      <w:lang w:val="en-US"/>
    </w:rPr>
  </w:style>
  <w:style w:type="paragraph" w:styleId="TOC4">
    <w:name w:val="toc 4"/>
    <w:basedOn w:val="Normal"/>
    <w:uiPriority w:val="1"/>
    <w:qFormat/>
    <w:rsid w:val="251BE3F0"/>
    <w:pPr>
      <w:spacing w:before="44"/>
      <w:ind w:left="905" w:hanging="565"/>
    </w:pPr>
    <w:rPr>
      <w:rFonts w:ascii="Calibri" w:eastAsia="Calibri" w:hAnsi="Calibri" w:cs="Calibri"/>
      <w:b/>
      <w:bCs/>
      <w:i/>
      <w:iCs/>
      <w:lang w:val="en-US"/>
    </w:rPr>
  </w:style>
  <w:style w:type="paragraph" w:styleId="BodyText">
    <w:name w:val="Body Text"/>
    <w:basedOn w:val="Normal"/>
    <w:link w:val="BodyTextChar"/>
    <w:uiPriority w:val="1"/>
    <w:qFormat/>
    <w:rsid w:val="251BE3F0"/>
    <w:rPr>
      <w:sz w:val="21"/>
      <w:szCs w:val="21"/>
      <w:lang w:val="en-US"/>
    </w:rPr>
  </w:style>
  <w:style w:type="paragraph" w:styleId="ListParagraph">
    <w:name w:val="List Paragraph"/>
    <w:basedOn w:val="Normal"/>
    <w:uiPriority w:val="34"/>
    <w:qFormat/>
    <w:rsid w:val="251BE3F0"/>
    <w:pPr>
      <w:spacing w:before="32"/>
      <w:ind w:left="831" w:hanging="340"/>
    </w:pPr>
    <w:rPr>
      <w:rFonts w:ascii="Arial" w:eastAsia="Arial" w:hAnsi="Arial" w:cs="Arial"/>
      <w:lang w:val="en-US"/>
    </w:rPr>
  </w:style>
  <w:style w:type="paragraph" w:customStyle="1" w:styleId="TableParagraph">
    <w:name w:val="Table Paragraph"/>
    <w:basedOn w:val="Normal"/>
    <w:uiPriority w:val="1"/>
    <w:qFormat/>
    <w:rsid w:val="251BE3F0"/>
    <w:rPr>
      <w:lang w:val="en-US"/>
    </w:rPr>
  </w:style>
  <w:style w:type="character" w:customStyle="1" w:styleId="Heading1Char">
    <w:name w:val="Heading 1 Char"/>
    <w:basedOn w:val="DefaultParagraphFont"/>
    <w:link w:val="Heading1"/>
    <w:uiPriority w:val="9"/>
    <w:rsid w:val="00CC3530"/>
    <w:rPr>
      <w:rFonts w:ascii="Arial" w:eastAsia="Arial" w:hAnsi="Arial" w:cs="Arial"/>
      <w:b/>
      <w:bCs/>
      <w:sz w:val="26"/>
      <w:szCs w:val="26"/>
    </w:rPr>
  </w:style>
  <w:style w:type="character" w:customStyle="1" w:styleId="Heading2Char">
    <w:name w:val="Heading 2 Char"/>
    <w:basedOn w:val="DefaultParagraphFont"/>
    <w:link w:val="Heading2"/>
    <w:uiPriority w:val="9"/>
    <w:rsid w:val="00CC3530"/>
    <w:rPr>
      <w:rFonts w:ascii="Arial" w:eastAsia="Arial" w:hAnsi="Arial" w:cs="Arial"/>
      <w:b/>
      <w:bCs/>
    </w:rPr>
  </w:style>
  <w:style w:type="character" w:customStyle="1" w:styleId="Heading3Char">
    <w:name w:val="Heading 3 Char"/>
    <w:basedOn w:val="DefaultParagraphFont"/>
    <w:link w:val="Heading3"/>
    <w:uiPriority w:val="9"/>
    <w:rsid w:val="00CC3530"/>
    <w:rPr>
      <w:rFonts w:ascii="Arial" w:eastAsia="Arial" w:hAnsi="Arial" w:cs="Arial"/>
      <w:b/>
      <w:bCs/>
      <w:sz w:val="21"/>
      <w:szCs w:val="21"/>
    </w:rPr>
  </w:style>
  <w:style w:type="character" w:customStyle="1" w:styleId="BodyTextChar">
    <w:name w:val="Body Text Char"/>
    <w:basedOn w:val="DefaultParagraphFont"/>
    <w:link w:val="BodyText"/>
    <w:uiPriority w:val="1"/>
    <w:rsid w:val="00CC3530"/>
    <w:rPr>
      <w:rFonts w:ascii="Arial MT" w:eastAsia="Arial MT" w:hAnsi="Arial MT" w:cs="Arial MT"/>
      <w:sz w:val="21"/>
      <w:szCs w:val="21"/>
    </w:rPr>
  </w:style>
  <w:style w:type="paragraph" w:customStyle="1" w:styleId="4Comment">
    <w:name w:val="4.Comment"/>
    <w:basedOn w:val="ListParagraph"/>
    <w:link w:val="4CommentChar"/>
    <w:qFormat/>
    <w:rsid w:val="00E80902"/>
    <w:pPr>
      <w:widowControl/>
      <w:autoSpaceDE/>
      <w:autoSpaceDN/>
      <w:spacing w:before="0" w:line="276" w:lineRule="auto"/>
      <w:ind w:left="720" w:firstLine="0"/>
      <w:contextualSpacing/>
      <w:jc w:val="both"/>
    </w:pPr>
    <w:rPr>
      <w:rFonts w:eastAsiaTheme="minorHAnsi"/>
      <w:szCs w:val="18"/>
      <w:lang w:val="en-ZA"/>
    </w:rPr>
  </w:style>
  <w:style w:type="character" w:customStyle="1" w:styleId="4CommentChar">
    <w:name w:val="4.Comment Char"/>
    <w:basedOn w:val="DefaultParagraphFont"/>
    <w:link w:val="4Comment"/>
    <w:rsid w:val="00E80902"/>
    <w:rPr>
      <w:rFonts w:ascii="Arial" w:hAnsi="Arial" w:cs="Arial"/>
      <w:szCs w:val="18"/>
      <w:lang w:val="en-ZA"/>
    </w:rPr>
  </w:style>
  <w:style w:type="paragraph" w:customStyle="1" w:styleId="5Response">
    <w:name w:val="5.Response"/>
    <w:basedOn w:val="ListParagraph"/>
    <w:link w:val="5ResponseChar"/>
    <w:qFormat/>
    <w:rsid w:val="0083104B"/>
    <w:pPr>
      <w:widowControl/>
      <w:autoSpaceDE/>
      <w:autoSpaceDN/>
      <w:spacing w:before="0" w:line="276" w:lineRule="auto"/>
      <w:ind w:left="1080" w:firstLine="0"/>
      <w:contextualSpacing/>
      <w:jc w:val="both"/>
    </w:pPr>
    <w:rPr>
      <w:rFonts w:eastAsia="Calibri"/>
      <w:szCs w:val="18"/>
      <w:lang w:val="en-ZA"/>
    </w:rPr>
  </w:style>
  <w:style w:type="character" w:customStyle="1" w:styleId="5ResponseChar">
    <w:name w:val="5.Response Char"/>
    <w:basedOn w:val="DefaultParagraphFont"/>
    <w:link w:val="5Response"/>
    <w:rsid w:val="0083104B"/>
    <w:rPr>
      <w:rFonts w:ascii="Arial" w:eastAsia="Calibri" w:hAnsi="Arial" w:cs="Arial"/>
      <w:szCs w:val="18"/>
      <w:lang w:val="en-ZA"/>
    </w:rPr>
  </w:style>
  <w:style w:type="paragraph" w:styleId="TOCHeading">
    <w:name w:val="TOC Heading"/>
    <w:basedOn w:val="Heading1"/>
    <w:next w:val="Normal"/>
    <w:uiPriority w:val="39"/>
    <w:unhideWhenUsed/>
    <w:qFormat/>
    <w:rsid w:val="00947AA1"/>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character" w:styleId="Hyperlink">
    <w:name w:val="Hyperlink"/>
    <w:basedOn w:val="DefaultParagraphFont"/>
    <w:uiPriority w:val="99"/>
    <w:unhideWhenUsed/>
    <w:rsid w:val="00947AA1"/>
    <w:rPr>
      <w:color w:val="0000FF" w:themeColor="hyperlink"/>
      <w:u w:val="single"/>
    </w:rPr>
  </w:style>
  <w:style w:type="paragraph" w:customStyle="1" w:styleId="1Section">
    <w:name w:val="1.Section"/>
    <w:basedOn w:val="Heading1"/>
    <w:link w:val="1SectionChar"/>
    <w:qFormat/>
    <w:rsid w:val="00947AA1"/>
    <w:pPr>
      <w:keepNext/>
      <w:keepLines/>
      <w:widowControl/>
      <w:autoSpaceDE/>
      <w:autoSpaceDN/>
      <w:spacing w:before="480"/>
      <w:ind w:left="0"/>
      <w:jc w:val="both"/>
    </w:pPr>
    <w:rPr>
      <w:rFonts w:eastAsiaTheme="majorEastAsia"/>
      <w:sz w:val="24"/>
      <w:szCs w:val="28"/>
      <w:lang w:val="en-ZA"/>
    </w:rPr>
  </w:style>
  <w:style w:type="character" w:customStyle="1" w:styleId="1SectionChar">
    <w:name w:val="1.Section Char"/>
    <w:basedOn w:val="DefaultParagraphFont"/>
    <w:link w:val="1Section"/>
    <w:rsid w:val="00947AA1"/>
    <w:rPr>
      <w:rFonts w:ascii="Arial" w:eastAsiaTheme="majorEastAsia" w:hAnsi="Arial" w:cs="Arial"/>
      <w:b/>
      <w:bCs/>
      <w:sz w:val="24"/>
      <w:szCs w:val="28"/>
      <w:lang w:val="en-ZA"/>
    </w:rPr>
  </w:style>
  <w:style w:type="paragraph" w:customStyle="1" w:styleId="0Title">
    <w:name w:val="0.Title"/>
    <w:basedOn w:val="Normal"/>
    <w:link w:val="0TitleChar"/>
    <w:uiPriority w:val="1"/>
    <w:qFormat/>
    <w:rsid w:val="251BE3F0"/>
    <w:pPr>
      <w:widowControl/>
      <w:spacing w:line="276" w:lineRule="auto"/>
      <w:ind w:left="720"/>
      <w:jc w:val="center"/>
    </w:pPr>
    <w:rPr>
      <w:rFonts w:ascii="Arial" w:eastAsiaTheme="minorEastAsia" w:hAnsi="Arial" w:cs="Arial"/>
      <w:b/>
      <w:bCs/>
      <w:sz w:val="24"/>
      <w:szCs w:val="24"/>
    </w:rPr>
  </w:style>
  <w:style w:type="character" w:customStyle="1" w:styleId="0TitleChar">
    <w:name w:val="0.Title Char"/>
    <w:basedOn w:val="DefaultParagraphFont"/>
    <w:link w:val="0Title"/>
    <w:rsid w:val="00947AA1"/>
    <w:rPr>
      <w:rFonts w:ascii="Arial" w:hAnsi="Arial" w:cs="Arial"/>
      <w:b/>
      <w:sz w:val="24"/>
      <w:lang w:val="en-ZA"/>
    </w:rPr>
  </w:style>
  <w:style w:type="paragraph" w:styleId="Revision">
    <w:name w:val="Revision"/>
    <w:hidden/>
    <w:uiPriority w:val="99"/>
    <w:semiHidden/>
    <w:rsid w:val="00645D61"/>
    <w:pPr>
      <w:widowControl/>
      <w:autoSpaceDE/>
      <w:autoSpaceDN/>
    </w:pPr>
    <w:rPr>
      <w:rFonts w:ascii="Arial MT" w:eastAsia="Arial MT" w:hAnsi="Arial MT" w:cs="Arial MT"/>
      <w:lang w:val="en-ZA"/>
    </w:rPr>
  </w:style>
  <w:style w:type="character" w:styleId="CommentReference">
    <w:name w:val="annotation reference"/>
    <w:basedOn w:val="DefaultParagraphFont"/>
    <w:uiPriority w:val="99"/>
    <w:semiHidden/>
    <w:unhideWhenUsed/>
    <w:rsid w:val="00586115"/>
    <w:rPr>
      <w:sz w:val="16"/>
      <w:szCs w:val="16"/>
    </w:rPr>
  </w:style>
  <w:style w:type="paragraph" w:styleId="CommentText">
    <w:name w:val="annotation text"/>
    <w:basedOn w:val="Normal"/>
    <w:link w:val="CommentTextChar"/>
    <w:uiPriority w:val="99"/>
    <w:unhideWhenUsed/>
    <w:rsid w:val="251BE3F0"/>
    <w:rPr>
      <w:sz w:val="20"/>
      <w:szCs w:val="20"/>
    </w:rPr>
  </w:style>
  <w:style w:type="character" w:customStyle="1" w:styleId="CommentTextChar">
    <w:name w:val="Comment Text Char"/>
    <w:basedOn w:val="DefaultParagraphFont"/>
    <w:link w:val="CommentText"/>
    <w:uiPriority w:val="99"/>
    <w:rsid w:val="00586115"/>
    <w:rPr>
      <w:rFonts w:ascii="Arial MT" w:eastAsia="Arial MT" w:hAnsi="Arial MT" w:cs="Arial MT"/>
      <w:sz w:val="20"/>
      <w:szCs w:val="20"/>
      <w:lang w:val="en-ZA"/>
    </w:rPr>
  </w:style>
  <w:style w:type="paragraph" w:styleId="CommentSubject">
    <w:name w:val="annotation subject"/>
    <w:basedOn w:val="CommentText"/>
    <w:next w:val="CommentText"/>
    <w:link w:val="CommentSubjectChar"/>
    <w:uiPriority w:val="99"/>
    <w:semiHidden/>
    <w:unhideWhenUsed/>
    <w:rsid w:val="00586115"/>
    <w:rPr>
      <w:b/>
      <w:bCs/>
    </w:rPr>
  </w:style>
  <w:style w:type="character" w:customStyle="1" w:styleId="CommentSubjectChar">
    <w:name w:val="Comment Subject Char"/>
    <w:basedOn w:val="CommentTextChar"/>
    <w:link w:val="CommentSubject"/>
    <w:uiPriority w:val="99"/>
    <w:semiHidden/>
    <w:rsid w:val="00586115"/>
    <w:rPr>
      <w:rFonts w:ascii="Arial MT" w:eastAsia="Arial MT" w:hAnsi="Arial MT" w:cs="Arial MT"/>
      <w:b/>
      <w:bCs/>
      <w:sz w:val="20"/>
      <w:szCs w:val="20"/>
      <w:lang w:val="en-ZA"/>
    </w:rPr>
  </w:style>
  <w:style w:type="table" w:styleId="TableGrid">
    <w:name w:val="Table Grid"/>
    <w:basedOn w:val="TableNormal"/>
    <w:uiPriority w:val="39"/>
    <w:rsid w:val="001A30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251BE3F0"/>
    <w:rPr>
      <w:sz w:val="20"/>
      <w:szCs w:val="20"/>
    </w:rPr>
  </w:style>
  <w:style w:type="character" w:customStyle="1" w:styleId="FootnoteTextChar">
    <w:name w:val="Footnote Text Char"/>
    <w:basedOn w:val="DefaultParagraphFont"/>
    <w:link w:val="FootnoteText"/>
    <w:uiPriority w:val="99"/>
    <w:semiHidden/>
    <w:rsid w:val="00D543E2"/>
    <w:rPr>
      <w:rFonts w:ascii="Arial MT" w:eastAsia="Arial MT" w:hAnsi="Arial MT" w:cs="Arial MT"/>
      <w:sz w:val="20"/>
      <w:szCs w:val="20"/>
      <w:lang w:val="en-ZA"/>
    </w:rPr>
  </w:style>
  <w:style w:type="character" w:styleId="FootnoteReference">
    <w:name w:val="footnote reference"/>
    <w:basedOn w:val="DefaultParagraphFont"/>
    <w:uiPriority w:val="99"/>
    <w:unhideWhenUsed/>
    <w:rsid w:val="00D543E2"/>
    <w:rPr>
      <w:vertAlign w:val="superscript"/>
    </w:rPr>
  </w:style>
  <w:style w:type="paragraph" w:styleId="Header">
    <w:name w:val="header"/>
    <w:basedOn w:val="Normal"/>
    <w:link w:val="HeaderChar"/>
    <w:uiPriority w:val="99"/>
    <w:unhideWhenUsed/>
    <w:rsid w:val="251BE3F0"/>
    <w:pPr>
      <w:tabs>
        <w:tab w:val="center" w:pos="4680"/>
        <w:tab w:val="right" w:pos="9360"/>
      </w:tabs>
    </w:pPr>
  </w:style>
  <w:style w:type="character" w:customStyle="1" w:styleId="HeaderChar">
    <w:name w:val="Header Char"/>
    <w:basedOn w:val="DefaultParagraphFont"/>
    <w:link w:val="Header"/>
    <w:uiPriority w:val="99"/>
    <w:rsid w:val="00A876B9"/>
    <w:rPr>
      <w:rFonts w:ascii="Arial MT" w:eastAsia="Arial MT" w:hAnsi="Arial MT" w:cs="Arial MT"/>
      <w:lang w:val="en-ZA"/>
    </w:rPr>
  </w:style>
  <w:style w:type="paragraph" w:styleId="Footer">
    <w:name w:val="footer"/>
    <w:basedOn w:val="Normal"/>
    <w:link w:val="FooterChar"/>
    <w:uiPriority w:val="99"/>
    <w:unhideWhenUsed/>
    <w:rsid w:val="251BE3F0"/>
    <w:pPr>
      <w:tabs>
        <w:tab w:val="center" w:pos="4680"/>
        <w:tab w:val="right" w:pos="9360"/>
      </w:tabs>
    </w:pPr>
  </w:style>
  <w:style w:type="character" w:customStyle="1" w:styleId="FooterChar">
    <w:name w:val="Footer Char"/>
    <w:basedOn w:val="DefaultParagraphFont"/>
    <w:link w:val="Footer"/>
    <w:uiPriority w:val="99"/>
    <w:rsid w:val="00A876B9"/>
    <w:rPr>
      <w:rFonts w:ascii="Arial MT" w:eastAsia="Arial MT" w:hAnsi="Arial MT" w:cs="Arial MT"/>
      <w:lang w:val="en-ZA"/>
    </w:rPr>
  </w:style>
  <w:style w:type="paragraph" w:customStyle="1" w:styleId="4Body">
    <w:name w:val="4. Body"/>
    <w:basedOn w:val="Normal"/>
    <w:link w:val="4BodyChar"/>
    <w:uiPriority w:val="1"/>
    <w:qFormat/>
    <w:rsid w:val="251BE3F0"/>
    <w:pPr>
      <w:spacing w:after="240"/>
      <w:jc w:val="both"/>
    </w:pPr>
    <w:rPr>
      <w:rFonts w:ascii="Arial" w:eastAsia="Calibri" w:hAnsi="Arial" w:cs="Arial"/>
      <w:lang w:val="en-US"/>
    </w:rPr>
  </w:style>
  <w:style w:type="character" w:customStyle="1" w:styleId="4BodyChar">
    <w:name w:val="4. Body Char"/>
    <w:basedOn w:val="DefaultParagraphFont"/>
    <w:link w:val="4Body"/>
    <w:uiPriority w:val="1"/>
    <w:rsid w:val="0031325B"/>
    <w:rPr>
      <w:rFonts w:ascii="Arial" w:eastAsia="Calibri" w:hAnsi="Arial" w:cs="Arial"/>
    </w:rPr>
  </w:style>
  <w:style w:type="paragraph" w:styleId="Title">
    <w:name w:val="Title"/>
    <w:basedOn w:val="Normal"/>
    <w:next w:val="Normal"/>
    <w:uiPriority w:val="10"/>
    <w:qFormat/>
    <w:rsid w:val="251BE3F0"/>
    <w:pPr>
      <w:contextualSpacing/>
    </w:pPr>
    <w:rPr>
      <w:rFonts w:asciiTheme="majorHAnsi" w:eastAsiaTheme="majorEastAsia" w:hAnsiTheme="majorHAnsi" w:cstheme="majorBidi"/>
      <w:sz w:val="56"/>
      <w:szCs w:val="56"/>
    </w:rPr>
  </w:style>
  <w:style w:type="paragraph" w:styleId="Subtitle">
    <w:name w:val="Subtitle"/>
    <w:basedOn w:val="Normal"/>
    <w:next w:val="Normal"/>
    <w:uiPriority w:val="11"/>
    <w:qFormat/>
    <w:rsid w:val="251BE3F0"/>
    <w:rPr>
      <w:rFonts w:eastAsiaTheme="minorEastAsia"/>
      <w:color w:val="5A5A5A"/>
    </w:rPr>
  </w:style>
  <w:style w:type="paragraph" w:styleId="Quote">
    <w:name w:val="Quote"/>
    <w:basedOn w:val="Normal"/>
    <w:next w:val="Normal"/>
    <w:uiPriority w:val="29"/>
    <w:qFormat/>
    <w:rsid w:val="251BE3F0"/>
    <w:pPr>
      <w:spacing w:before="200"/>
      <w:ind w:left="864" w:right="864"/>
      <w:jc w:val="center"/>
    </w:pPr>
    <w:rPr>
      <w:i/>
      <w:iCs/>
      <w:color w:val="404040" w:themeColor="text1" w:themeTint="BF"/>
    </w:rPr>
  </w:style>
  <w:style w:type="paragraph" w:styleId="IntenseQuote">
    <w:name w:val="Intense Quote"/>
    <w:basedOn w:val="Normal"/>
    <w:next w:val="Normal"/>
    <w:uiPriority w:val="30"/>
    <w:qFormat/>
    <w:rsid w:val="251BE3F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paragraph" w:styleId="TOC5">
    <w:name w:val="toc 5"/>
    <w:basedOn w:val="Normal"/>
    <w:next w:val="Normal"/>
    <w:uiPriority w:val="39"/>
    <w:unhideWhenUsed/>
    <w:rsid w:val="251BE3F0"/>
    <w:pPr>
      <w:spacing w:after="100"/>
      <w:ind w:left="880"/>
    </w:pPr>
  </w:style>
  <w:style w:type="paragraph" w:styleId="TOC6">
    <w:name w:val="toc 6"/>
    <w:basedOn w:val="Normal"/>
    <w:next w:val="Normal"/>
    <w:uiPriority w:val="39"/>
    <w:unhideWhenUsed/>
    <w:rsid w:val="251BE3F0"/>
    <w:pPr>
      <w:spacing w:after="100"/>
      <w:ind w:left="1100"/>
    </w:pPr>
  </w:style>
  <w:style w:type="paragraph" w:styleId="TOC7">
    <w:name w:val="toc 7"/>
    <w:basedOn w:val="Normal"/>
    <w:next w:val="Normal"/>
    <w:uiPriority w:val="39"/>
    <w:unhideWhenUsed/>
    <w:rsid w:val="251BE3F0"/>
    <w:pPr>
      <w:spacing w:after="100"/>
      <w:ind w:left="1320"/>
    </w:pPr>
  </w:style>
  <w:style w:type="paragraph" w:styleId="TOC8">
    <w:name w:val="toc 8"/>
    <w:basedOn w:val="Normal"/>
    <w:next w:val="Normal"/>
    <w:uiPriority w:val="39"/>
    <w:unhideWhenUsed/>
    <w:rsid w:val="251BE3F0"/>
    <w:pPr>
      <w:spacing w:after="100"/>
      <w:ind w:left="1540"/>
    </w:pPr>
  </w:style>
  <w:style w:type="paragraph" w:styleId="TOC9">
    <w:name w:val="toc 9"/>
    <w:basedOn w:val="Normal"/>
    <w:next w:val="Normal"/>
    <w:uiPriority w:val="39"/>
    <w:unhideWhenUsed/>
    <w:rsid w:val="251BE3F0"/>
    <w:pPr>
      <w:spacing w:after="100"/>
      <w:ind w:left="1760"/>
    </w:pPr>
  </w:style>
  <w:style w:type="paragraph" w:styleId="EndnoteText">
    <w:name w:val="endnote text"/>
    <w:basedOn w:val="Normal"/>
    <w:uiPriority w:val="99"/>
    <w:semiHidden/>
    <w:unhideWhenUsed/>
    <w:rsid w:val="251BE3F0"/>
    <w:rPr>
      <w:sz w:val="20"/>
      <w:szCs w:val="20"/>
    </w:rPr>
  </w:style>
  <w:style w:type="paragraph" w:customStyle="1" w:styleId="Default">
    <w:name w:val="Default"/>
    <w:rsid w:val="00C623A5"/>
    <w:pPr>
      <w:widowControl/>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00414">
      <w:bodyDiv w:val="1"/>
      <w:marLeft w:val="0"/>
      <w:marRight w:val="0"/>
      <w:marTop w:val="0"/>
      <w:marBottom w:val="0"/>
      <w:divBdr>
        <w:top w:val="none" w:sz="0" w:space="0" w:color="auto"/>
        <w:left w:val="none" w:sz="0" w:space="0" w:color="auto"/>
        <w:bottom w:val="none" w:sz="0" w:space="0" w:color="auto"/>
        <w:right w:val="none" w:sz="0" w:space="0" w:color="auto"/>
      </w:divBdr>
      <w:divsChild>
        <w:div w:id="50925356">
          <w:marLeft w:val="806"/>
          <w:marRight w:val="0"/>
          <w:marTop w:val="75"/>
          <w:marBottom w:val="0"/>
          <w:divBdr>
            <w:top w:val="none" w:sz="0" w:space="0" w:color="auto"/>
            <w:left w:val="none" w:sz="0" w:space="0" w:color="auto"/>
            <w:bottom w:val="none" w:sz="0" w:space="0" w:color="auto"/>
            <w:right w:val="none" w:sz="0" w:space="0" w:color="auto"/>
          </w:divBdr>
        </w:div>
        <w:div w:id="533612382">
          <w:marLeft w:val="806"/>
          <w:marRight w:val="0"/>
          <w:marTop w:val="75"/>
          <w:marBottom w:val="0"/>
          <w:divBdr>
            <w:top w:val="none" w:sz="0" w:space="0" w:color="auto"/>
            <w:left w:val="none" w:sz="0" w:space="0" w:color="auto"/>
            <w:bottom w:val="none" w:sz="0" w:space="0" w:color="auto"/>
            <w:right w:val="none" w:sz="0" w:space="0" w:color="auto"/>
          </w:divBdr>
        </w:div>
        <w:div w:id="1016225983">
          <w:marLeft w:val="806"/>
          <w:marRight w:val="0"/>
          <w:marTop w:val="75"/>
          <w:marBottom w:val="0"/>
          <w:divBdr>
            <w:top w:val="none" w:sz="0" w:space="0" w:color="auto"/>
            <w:left w:val="none" w:sz="0" w:space="0" w:color="auto"/>
            <w:bottom w:val="none" w:sz="0" w:space="0" w:color="auto"/>
            <w:right w:val="none" w:sz="0" w:space="0" w:color="auto"/>
          </w:divBdr>
        </w:div>
        <w:div w:id="1358698330">
          <w:marLeft w:val="274"/>
          <w:marRight w:val="0"/>
          <w:marTop w:val="150"/>
          <w:marBottom w:val="0"/>
          <w:divBdr>
            <w:top w:val="none" w:sz="0" w:space="0" w:color="auto"/>
            <w:left w:val="none" w:sz="0" w:space="0" w:color="auto"/>
            <w:bottom w:val="none" w:sz="0" w:space="0" w:color="auto"/>
            <w:right w:val="none" w:sz="0" w:space="0" w:color="auto"/>
          </w:divBdr>
        </w:div>
        <w:div w:id="1624578912">
          <w:marLeft w:val="806"/>
          <w:marRight w:val="0"/>
          <w:marTop w:val="75"/>
          <w:marBottom w:val="0"/>
          <w:divBdr>
            <w:top w:val="none" w:sz="0" w:space="0" w:color="auto"/>
            <w:left w:val="none" w:sz="0" w:space="0" w:color="auto"/>
            <w:bottom w:val="none" w:sz="0" w:space="0" w:color="auto"/>
            <w:right w:val="none" w:sz="0" w:space="0" w:color="auto"/>
          </w:divBdr>
        </w:div>
        <w:div w:id="1667660322">
          <w:marLeft w:val="806"/>
          <w:marRight w:val="0"/>
          <w:marTop w:val="75"/>
          <w:marBottom w:val="0"/>
          <w:divBdr>
            <w:top w:val="none" w:sz="0" w:space="0" w:color="auto"/>
            <w:left w:val="none" w:sz="0" w:space="0" w:color="auto"/>
            <w:bottom w:val="none" w:sz="0" w:space="0" w:color="auto"/>
            <w:right w:val="none" w:sz="0" w:space="0" w:color="auto"/>
          </w:divBdr>
        </w:div>
      </w:divsChild>
    </w:div>
    <w:div w:id="242765176">
      <w:bodyDiv w:val="1"/>
      <w:marLeft w:val="0"/>
      <w:marRight w:val="0"/>
      <w:marTop w:val="0"/>
      <w:marBottom w:val="0"/>
      <w:divBdr>
        <w:top w:val="none" w:sz="0" w:space="0" w:color="auto"/>
        <w:left w:val="none" w:sz="0" w:space="0" w:color="auto"/>
        <w:bottom w:val="none" w:sz="0" w:space="0" w:color="auto"/>
        <w:right w:val="none" w:sz="0" w:space="0" w:color="auto"/>
      </w:divBdr>
    </w:div>
    <w:div w:id="269944751">
      <w:bodyDiv w:val="1"/>
      <w:marLeft w:val="0"/>
      <w:marRight w:val="0"/>
      <w:marTop w:val="0"/>
      <w:marBottom w:val="0"/>
      <w:divBdr>
        <w:top w:val="none" w:sz="0" w:space="0" w:color="auto"/>
        <w:left w:val="none" w:sz="0" w:space="0" w:color="auto"/>
        <w:bottom w:val="none" w:sz="0" w:space="0" w:color="auto"/>
        <w:right w:val="none" w:sz="0" w:space="0" w:color="auto"/>
      </w:divBdr>
    </w:div>
    <w:div w:id="401873788">
      <w:bodyDiv w:val="1"/>
      <w:marLeft w:val="0"/>
      <w:marRight w:val="0"/>
      <w:marTop w:val="0"/>
      <w:marBottom w:val="0"/>
      <w:divBdr>
        <w:top w:val="none" w:sz="0" w:space="0" w:color="auto"/>
        <w:left w:val="none" w:sz="0" w:space="0" w:color="auto"/>
        <w:bottom w:val="none" w:sz="0" w:space="0" w:color="auto"/>
        <w:right w:val="none" w:sz="0" w:space="0" w:color="auto"/>
      </w:divBdr>
    </w:div>
    <w:div w:id="489829165">
      <w:bodyDiv w:val="1"/>
      <w:marLeft w:val="0"/>
      <w:marRight w:val="0"/>
      <w:marTop w:val="0"/>
      <w:marBottom w:val="0"/>
      <w:divBdr>
        <w:top w:val="none" w:sz="0" w:space="0" w:color="auto"/>
        <w:left w:val="none" w:sz="0" w:space="0" w:color="auto"/>
        <w:bottom w:val="none" w:sz="0" w:space="0" w:color="auto"/>
        <w:right w:val="none" w:sz="0" w:space="0" w:color="auto"/>
      </w:divBdr>
    </w:div>
    <w:div w:id="550503555">
      <w:bodyDiv w:val="1"/>
      <w:marLeft w:val="0"/>
      <w:marRight w:val="0"/>
      <w:marTop w:val="0"/>
      <w:marBottom w:val="0"/>
      <w:divBdr>
        <w:top w:val="none" w:sz="0" w:space="0" w:color="auto"/>
        <w:left w:val="none" w:sz="0" w:space="0" w:color="auto"/>
        <w:bottom w:val="none" w:sz="0" w:space="0" w:color="auto"/>
        <w:right w:val="none" w:sz="0" w:space="0" w:color="auto"/>
      </w:divBdr>
    </w:div>
    <w:div w:id="899097923">
      <w:bodyDiv w:val="1"/>
      <w:marLeft w:val="0"/>
      <w:marRight w:val="0"/>
      <w:marTop w:val="0"/>
      <w:marBottom w:val="0"/>
      <w:divBdr>
        <w:top w:val="none" w:sz="0" w:space="0" w:color="auto"/>
        <w:left w:val="none" w:sz="0" w:space="0" w:color="auto"/>
        <w:bottom w:val="none" w:sz="0" w:space="0" w:color="auto"/>
        <w:right w:val="none" w:sz="0" w:space="0" w:color="auto"/>
      </w:divBdr>
      <w:divsChild>
        <w:div w:id="228002928">
          <w:marLeft w:val="274"/>
          <w:marRight w:val="0"/>
          <w:marTop w:val="150"/>
          <w:marBottom w:val="0"/>
          <w:divBdr>
            <w:top w:val="none" w:sz="0" w:space="0" w:color="auto"/>
            <w:left w:val="none" w:sz="0" w:space="0" w:color="auto"/>
            <w:bottom w:val="none" w:sz="0" w:space="0" w:color="auto"/>
            <w:right w:val="none" w:sz="0" w:space="0" w:color="auto"/>
          </w:divBdr>
        </w:div>
        <w:div w:id="512383089">
          <w:marLeft w:val="806"/>
          <w:marRight w:val="0"/>
          <w:marTop w:val="75"/>
          <w:marBottom w:val="0"/>
          <w:divBdr>
            <w:top w:val="none" w:sz="0" w:space="0" w:color="auto"/>
            <w:left w:val="none" w:sz="0" w:space="0" w:color="auto"/>
            <w:bottom w:val="none" w:sz="0" w:space="0" w:color="auto"/>
            <w:right w:val="none" w:sz="0" w:space="0" w:color="auto"/>
          </w:divBdr>
        </w:div>
        <w:div w:id="843976405">
          <w:marLeft w:val="274"/>
          <w:marRight w:val="0"/>
          <w:marTop w:val="150"/>
          <w:marBottom w:val="0"/>
          <w:divBdr>
            <w:top w:val="none" w:sz="0" w:space="0" w:color="auto"/>
            <w:left w:val="none" w:sz="0" w:space="0" w:color="auto"/>
            <w:bottom w:val="none" w:sz="0" w:space="0" w:color="auto"/>
            <w:right w:val="none" w:sz="0" w:space="0" w:color="auto"/>
          </w:divBdr>
        </w:div>
        <w:div w:id="1447581460">
          <w:marLeft w:val="806"/>
          <w:marRight w:val="0"/>
          <w:marTop w:val="75"/>
          <w:marBottom w:val="0"/>
          <w:divBdr>
            <w:top w:val="none" w:sz="0" w:space="0" w:color="auto"/>
            <w:left w:val="none" w:sz="0" w:space="0" w:color="auto"/>
            <w:bottom w:val="none" w:sz="0" w:space="0" w:color="auto"/>
            <w:right w:val="none" w:sz="0" w:space="0" w:color="auto"/>
          </w:divBdr>
        </w:div>
        <w:div w:id="1531264457">
          <w:marLeft w:val="274"/>
          <w:marRight w:val="0"/>
          <w:marTop w:val="150"/>
          <w:marBottom w:val="0"/>
          <w:divBdr>
            <w:top w:val="none" w:sz="0" w:space="0" w:color="auto"/>
            <w:left w:val="none" w:sz="0" w:space="0" w:color="auto"/>
            <w:bottom w:val="none" w:sz="0" w:space="0" w:color="auto"/>
            <w:right w:val="none" w:sz="0" w:space="0" w:color="auto"/>
          </w:divBdr>
        </w:div>
        <w:div w:id="1876381246">
          <w:marLeft w:val="274"/>
          <w:marRight w:val="0"/>
          <w:marTop w:val="150"/>
          <w:marBottom w:val="0"/>
          <w:divBdr>
            <w:top w:val="none" w:sz="0" w:space="0" w:color="auto"/>
            <w:left w:val="none" w:sz="0" w:space="0" w:color="auto"/>
            <w:bottom w:val="none" w:sz="0" w:space="0" w:color="auto"/>
            <w:right w:val="none" w:sz="0" w:space="0" w:color="auto"/>
          </w:divBdr>
        </w:div>
        <w:div w:id="2070221983">
          <w:marLeft w:val="274"/>
          <w:marRight w:val="0"/>
          <w:marTop w:val="150"/>
          <w:marBottom w:val="0"/>
          <w:divBdr>
            <w:top w:val="none" w:sz="0" w:space="0" w:color="auto"/>
            <w:left w:val="none" w:sz="0" w:space="0" w:color="auto"/>
            <w:bottom w:val="none" w:sz="0" w:space="0" w:color="auto"/>
            <w:right w:val="none" w:sz="0" w:space="0" w:color="auto"/>
          </w:divBdr>
        </w:div>
      </w:divsChild>
    </w:div>
    <w:div w:id="930041428">
      <w:bodyDiv w:val="1"/>
      <w:marLeft w:val="0"/>
      <w:marRight w:val="0"/>
      <w:marTop w:val="0"/>
      <w:marBottom w:val="0"/>
      <w:divBdr>
        <w:top w:val="none" w:sz="0" w:space="0" w:color="auto"/>
        <w:left w:val="none" w:sz="0" w:space="0" w:color="auto"/>
        <w:bottom w:val="none" w:sz="0" w:space="0" w:color="auto"/>
        <w:right w:val="none" w:sz="0" w:space="0" w:color="auto"/>
      </w:divBdr>
      <w:divsChild>
        <w:div w:id="551503868">
          <w:marLeft w:val="274"/>
          <w:marRight w:val="0"/>
          <w:marTop w:val="150"/>
          <w:marBottom w:val="0"/>
          <w:divBdr>
            <w:top w:val="none" w:sz="0" w:space="0" w:color="auto"/>
            <w:left w:val="none" w:sz="0" w:space="0" w:color="auto"/>
            <w:bottom w:val="none" w:sz="0" w:space="0" w:color="auto"/>
            <w:right w:val="none" w:sz="0" w:space="0" w:color="auto"/>
          </w:divBdr>
        </w:div>
        <w:div w:id="593897224">
          <w:marLeft w:val="274"/>
          <w:marRight w:val="0"/>
          <w:marTop w:val="150"/>
          <w:marBottom w:val="0"/>
          <w:divBdr>
            <w:top w:val="none" w:sz="0" w:space="0" w:color="auto"/>
            <w:left w:val="none" w:sz="0" w:space="0" w:color="auto"/>
            <w:bottom w:val="none" w:sz="0" w:space="0" w:color="auto"/>
            <w:right w:val="none" w:sz="0" w:space="0" w:color="auto"/>
          </w:divBdr>
        </w:div>
        <w:div w:id="1668972231">
          <w:marLeft w:val="274"/>
          <w:marRight w:val="0"/>
          <w:marTop w:val="150"/>
          <w:marBottom w:val="0"/>
          <w:divBdr>
            <w:top w:val="none" w:sz="0" w:space="0" w:color="auto"/>
            <w:left w:val="none" w:sz="0" w:space="0" w:color="auto"/>
            <w:bottom w:val="none" w:sz="0" w:space="0" w:color="auto"/>
            <w:right w:val="none" w:sz="0" w:space="0" w:color="auto"/>
          </w:divBdr>
        </w:div>
      </w:divsChild>
    </w:div>
    <w:div w:id="934023716">
      <w:bodyDiv w:val="1"/>
      <w:marLeft w:val="0"/>
      <w:marRight w:val="0"/>
      <w:marTop w:val="0"/>
      <w:marBottom w:val="0"/>
      <w:divBdr>
        <w:top w:val="none" w:sz="0" w:space="0" w:color="auto"/>
        <w:left w:val="none" w:sz="0" w:space="0" w:color="auto"/>
        <w:bottom w:val="none" w:sz="0" w:space="0" w:color="auto"/>
        <w:right w:val="none" w:sz="0" w:space="0" w:color="auto"/>
      </w:divBdr>
      <w:divsChild>
        <w:div w:id="86653268">
          <w:marLeft w:val="806"/>
          <w:marRight w:val="0"/>
          <w:marTop w:val="75"/>
          <w:marBottom w:val="0"/>
          <w:divBdr>
            <w:top w:val="none" w:sz="0" w:space="0" w:color="auto"/>
            <w:left w:val="none" w:sz="0" w:space="0" w:color="auto"/>
            <w:bottom w:val="none" w:sz="0" w:space="0" w:color="auto"/>
            <w:right w:val="none" w:sz="0" w:space="0" w:color="auto"/>
          </w:divBdr>
        </w:div>
        <w:div w:id="427895626">
          <w:marLeft w:val="274"/>
          <w:marRight w:val="0"/>
          <w:marTop w:val="150"/>
          <w:marBottom w:val="0"/>
          <w:divBdr>
            <w:top w:val="none" w:sz="0" w:space="0" w:color="auto"/>
            <w:left w:val="none" w:sz="0" w:space="0" w:color="auto"/>
            <w:bottom w:val="none" w:sz="0" w:space="0" w:color="auto"/>
            <w:right w:val="none" w:sz="0" w:space="0" w:color="auto"/>
          </w:divBdr>
        </w:div>
        <w:div w:id="1944729568">
          <w:marLeft w:val="806"/>
          <w:marRight w:val="0"/>
          <w:marTop w:val="75"/>
          <w:marBottom w:val="0"/>
          <w:divBdr>
            <w:top w:val="none" w:sz="0" w:space="0" w:color="auto"/>
            <w:left w:val="none" w:sz="0" w:space="0" w:color="auto"/>
            <w:bottom w:val="none" w:sz="0" w:space="0" w:color="auto"/>
            <w:right w:val="none" w:sz="0" w:space="0" w:color="auto"/>
          </w:divBdr>
        </w:div>
      </w:divsChild>
    </w:div>
    <w:div w:id="971330922">
      <w:bodyDiv w:val="1"/>
      <w:marLeft w:val="0"/>
      <w:marRight w:val="0"/>
      <w:marTop w:val="0"/>
      <w:marBottom w:val="0"/>
      <w:divBdr>
        <w:top w:val="none" w:sz="0" w:space="0" w:color="auto"/>
        <w:left w:val="none" w:sz="0" w:space="0" w:color="auto"/>
        <w:bottom w:val="none" w:sz="0" w:space="0" w:color="auto"/>
        <w:right w:val="none" w:sz="0" w:space="0" w:color="auto"/>
      </w:divBdr>
    </w:div>
    <w:div w:id="1096440307">
      <w:bodyDiv w:val="1"/>
      <w:marLeft w:val="0"/>
      <w:marRight w:val="0"/>
      <w:marTop w:val="0"/>
      <w:marBottom w:val="0"/>
      <w:divBdr>
        <w:top w:val="none" w:sz="0" w:space="0" w:color="auto"/>
        <w:left w:val="none" w:sz="0" w:space="0" w:color="auto"/>
        <w:bottom w:val="none" w:sz="0" w:space="0" w:color="auto"/>
        <w:right w:val="none" w:sz="0" w:space="0" w:color="auto"/>
      </w:divBdr>
    </w:div>
    <w:div w:id="1097169038">
      <w:bodyDiv w:val="1"/>
      <w:marLeft w:val="0"/>
      <w:marRight w:val="0"/>
      <w:marTop w:val="0"/>
      <w:marBottom w:val="0"/>
      <w:divBdr>
        <w:top w:val="none" w:sz="0" w:space="0" w:color="auto"/>
        <w:left w:val="none" w:sz="0" w:space="0" w:color="auto"/>
        <w:bottom w:val="none" w:sz="0" w:space="0" w:color="auto"/>
        <w:right w:val="none" w:sz="0" w:space="0" w:color="auto"/>
      </w:divBdr>
      <w:divsChild>
        <w:div w:id="209728474">
          <w:marLeft w:val="806"/>
          <w:marRight w:val="0"/>
          <w:marTop w:val="75"/>
          <w:marBottom w:val="0"/>
          <w:divBdr>
            <w:top w:val="none" w:sz="0" w:space="0" w:color="auto"/>
            <w:left w:val="none" w:sz="0" w:space="0" w:color="auto"/>
            <w:bottom w:val="none" w:sz="0" w:space="0" w:color="auto"/>
            <w:right w:val="none" w:sz="0" w:space="0" w:color="auto"/>
          </w:divBdr>
        </w:div>
        <w:div w:id="681320064">
          <w:marLeft w:val="274"/>
          <w:marRight w:val="0"/>
          <w:marTop w:val="150"/>
          <w:marBottom w:val="0"/>
          <w:divBdr>
            <w:top w:val="none" w:sz="0" w:space="0" w:color="auto"/>
            <w:left w:val="none" w:sz="0" w:space="0" w:color="auto"/>
            <w:bottom w:val="none" w:sz="0" w:space="0" w:color="auto"/>
            <w:right w:val="none" w:sz="0" w:space="0" w:color="auto"/>
          </w:divBdr>
        </w:div>
        <w:div w:id="905654126">
          <w:marLeft w:val="274"/>
          <w:marRight w:val="0"/>
          <w:marTop w:val="150"/>
          <w:marBottom w:val="0"/>
          <w:divBdr>
            <w:top w:val="none" w:sz="0" w:space="0" w:color="auto"/>
            <w:left w:val="none" w:sz="0" w:space="0" w:color="auto"/>
            <w:bottom w:val="none" w:sz="0" w:space="0" w:color="auto"/>
            <w:right w:val="none" w:sz="0" w:space="0" w:color="auto"/>
          </w:divBdr>
        </w:div>
        <w:div w:id="1300115813">
          <w:marLeft w:val="806"/>
          <w:marRight w:val="0"/>
          <w:marTop w:val="75"/>
          <w:marBottom w:val="0"/>
          <w:divBdr>
            <w:top w:val="none" w:sz="0" w:space="0" w:color="auto"/>
            <w:left w:val="none" w:sz="0" w:space="0" w:color="auto"/>
            <w:bottom w:val="none" w:sz="0" w:space="0" w:color="auto"/>
            <w:right w:val="none" w:sz="0" w:space="0" w:color="auto"/>
          </w:divBdr>
        </w:div>
        <w:div w:id="1392079121">
          <w:marLeft w:val="806"/>
          <w:marRight w:val="0"/>
          <w:marTop w:val="75"/>
          <w:marBottom w:val="0"/>
          <w:divBdr>
            <w:top w:val="none" w:sz="0" w:space="0" w:color="auto"/>
            <w:left w:val="none" w:sz="0" w:space="0" w:color="auto"/>
            <w:bottom w:val="none" w:sz="0" w:space="0" w:color="auto"/>
            <w:right w:val="none" w:sz="0" w:space="0" w:color="auto"/>
          </w:divBdr>
        </w:div>
        <w:div w:id="1464420428">
          <w:marLeft w:val="274"/>
          <w:marRight w:val="0"/>
          <w:marTop w:val="150"/>
          <w:marBottom w:val="0"/>
          <w:divBdr>
            <w:top w:val="none" w:sz="0" w:space="0" w:color="auto"/>
            <w:left w:val="none" w:sz="0" w:space="0" w:color="auto"/>
            <w:bottom w:val="none" w:sz="0" w:space="0" w:color="auto"/>
            <w:right w:val="none" w:sz="0" w:space="0" w:color="auto"/>
          </w:divBdr>
        </w:div>
        <w:div w:id="1819492271">
          <w:marLeft w:val="274"/>
          <w:marRight w:val="0"/>
          <w:marTop w:val="150"/>
          <w:marBottom w:val="0"/>
          <w:divBdr>
            <w:top w:val="none" w:sz="0" w:space="0" w:color="auto"/>
            <w:left w:val="none" w:sz="0" w:space="0" w:color="auto"/>
            <w:bottom w:val="none" w:sz="0" w:space="0" w:color="auto"/>
            <w:right w:val="none" w:sz="0" w:space="0" w:color="auto"/>
          </w:divBdr>
        </w:div>
        <w:div w:id="2043632446">
          <w:marLeft w:val="274"/>
          <w:marRight w:val="0"/>
          <w:marTop w:val="150"/>
          <w:marBottom w:val="0"/>
          <w:divBdr>
            <w:top w:val="none" w:sz="0" w:space="0" w:color="auto"/>
            <w:left w:val="none" w:sz="0" w:space="0" w:color="auto"/>
            <w:bottom w:val="none" w:sz="0" w:space="0" w:color="auto"/>
            <w:right w:val="none" w:sz="0" w:space="0" w:color="auto"/>
          </w:divBdr>
        </w:div>
        <w:div w:id="2135825822">
          <w:marLeft w:val="806"/>
          <w:marRight w:val="0"/>
          <w:marTop w:val="75"/>
          <w:marBottom w:val="0"/>
          <w:divBdr>
            <w:top w:val="none" w:sz="0" w:space="0" w:color="auto"/>
            <w:left w:val="none" w:sz="0" w:space="0" w:color="auto"/>
            <w:bottom w:val="none" w:sz="0" w:space="0" w:color="auto"/>
            <w:right w:val="none" w:sz="0" w:space="0" w:color="auto"/>
          </w:divBdr>
        </w:div>
      </w:divsChild>
    </w:div>
    <w:div w:id="1105419369">
      <w:bodyDiv w:val="1"/>
      <w:marLeft w:val="0"/>
      <w:marRight w:val="0"/>
      <w:marTop w:val="0"/>
      <w:marBottom w:val="0"/>
      <w:divBdr>
        <w:top w:val="none" w:sz="0" w:space="0" w:color="auto"/>
        <w:left w:val="none" w:sz="0" w:space="0" w:color="auto"/>
        <w:bottom w:val="none" w:sz="0" w:space="0" w:color="auto"/>
        <w:right w:val="none" w:sz="0" w:space="0" w:color="auto"/>
      </w:divBdr>
    </w:div>
    <w:div w:id="1140539068">
      <w:bodyDiv w:val="1"/>
      <w:marLeft w:val="0"/>
      <w:marRight w:val="0"/>
      <w:marTop w:val="0"/>
      <w:marBottom w:val="0"/>
      <w:divBdr>
        <w:top w:val="none" w:sz="0" w:space="0" w:color="auto"/>
        <w:left w:val="none" w:sz="0" w:space="0" w:color="auto"/>
        <w:bottom w:val="none" w:sz="0" w:space="0" w:color="auto"/>
        <w:right w:val="none" w:sz="0" w:space="0" w:color="auto"/>
      </w:divBdr>
    </w:div>
    <w:div w:id="1441952530">
      <w:bodyDiv w:val="1"/>
      <w:marLeft w:val="0"/>
      <w:marRight w:val="0"/>
      <w:marTop w:val="0"/>
      <w:marBottom w:val="0"/>
      <w:divBdr>
        <w:top w:val="none" w:sz="0" w:space="0" w:color="auto"/>
        <w:left w:val="none" w:sz="0" w:space="0" w:color="auto"/>
        <w:bottom w:val="none" w:sz="0" w:space="0" w:color="auto"/>
        <w:right w:val="none" w:sz="0" w:space="0" w:color="auto"/>
      </w:divBdr>
      <w:divsChild>
        <w:div w:id="484590949">
          <w:marLeft w:val="274"/>
          <w:marRight w:val="0"/>
          <w:marTop w:val="150"/>
          <w:marBottom w:val="0"/>
          <w:divBdr>
            <w:top w:val="none" w:sz="0" w:space="0" w:color="auto"/>
            <w:left w:val="none" w:sz="0" w:space="0" w:color="auto"/>
            <w:bottom w:val="none" w:sz="0" w:space="0" w:color="auto"/>
            <w:right w:val="none" w:sz="0" w:space="0" w:color="auto"/>
          </w:divBdr>
        </w:div>
        <w:div w:id="598417905">
          <w:marLeft w:val="274"/>
          <w:marRight w:val="0"/>
          <w:marTop w:val="150"/>
          <w:marBottom w:val="0"/>
          <w:divBdr>
            <w:top w:val="none" w:sz="0" w:space="0" w:color="auto"/>
            <w:left w:val="none" w:sz="0" w:space="0" w:color="auto"/>
            <w:bottom w:val="none" w:sz="0" w:space="0" w:color="auto"/>
            <w:right w:val="none" w:sz="0" w:space="0" w:color="auto"/>
          </w:divBdr>
        </w:div>
        <w:div w:id="1174757718">
          <w:marLeft w:val="806"/>
          <w:marRight w:val="0"/>
          <w:marTop w:val="75"/>
          <w:marBottom w:val="0"/>
          <w:divBdr>
            <w:top w:val="none" w:sz="0" w:space="0" w:color="auto"/>
            <w:left w:val="none" w:sz="0" w:space="0" w:color="auto"/>
            <w:bottom w:val="none" w:sz="0" w:space="0" w:color="auto"/>
            <w:right w:val="none" w:sz="0" w:space="0" w:color="auto"/>
          </w:divBdr>
        </w:div>
        <w:div w:id="1594973189">
          <w:marLeft w:val="274"/>
          <w:marRight w:val="0"/>
          <w:marTop w:val="150"/>
          <w:marBottom w:val="0"/>
          <w:divBdr>
            <w:top w:val="none" w:sz="0" w:space="0" w:color="auto"/>
            <w:left w:val="none" w:sz="0" w:space="0" w:color="auto"/>
            <w:bottom w:val="none" w:sz="0" w:space="0" w:color="auto"/>
            <w:right w:val="none" w:sz="0" w:space="0" w:color="auto"/>
          </w:divBdr>
        </w:div>
        <w:div w:id="1648704990">
          <w:marLeft w:val="274"/>
          <w:marRight w:val="0"/>
          <w:marTop w:val="150"/>
          <w:marBottom w:val="0"/>
          <w:divBdr>
            <w:top w:val="none" w:sz="0" w:space="0" w:color="auto"/>
            <w:left w:val="none" w:sz="0" w:space="0" w:color="auto"/>
            <w:bottom w:val="none" w:sz="0" w:space="0" w:color="auto"/>
            <w:right w:val="none" w:sz="0" w:space="0" w:color="auto"/>
          </w:divBdr>
        </w:div>
        <w:div w:id="1921211901">
          <w:marLeft w:val="806"/>
          <w:marRight w:val="0"/>
          <w:marTop w:val="75"/>
          <w:marBottom w:val="0"/>
          <w:divBdr>
            <w:top w:val="none" w:sz="0" w:space="0" w:color="auto"/>
            <w:left w:val="none" w:sz="0" w:space="0" w:color="auto"/>
            <w:bottom w:val="none" w:sz="0" w:space="0" w:color="auto"/>
            <w:right w:val="none" w:sz="0" w:space="0" w:color="auto"/>
          </w:divBdr>
        </w:div>
      </w:divsChild>
    </w:div>
    <w:div w:id="2081171380">
      <w:bodyDiv w:val="1"/>
      <w:marLeft w:val="0"/>
      <w:marRight w:val="0"/>
      <w:marTop w:val="0"/>
      <w:marBottom w:val="0"/>
      <w:divBdr>
        <w:top w:val="none" w:sz="0" w:space="0" w:color="auto"/>
        <w:left w:val="none" w:sz="0" w:space="0" w:color="auto"/>
        <w:bottom w:val="none" w:sz="0" w:space="0" w:color="auto"/>
        <w:right w:val="none" w:sz="0" w:space="0" w:color="auto"/>
      </w:divBdr>
      <w:divsChild>
        <w:div w:id="99302447">
          <w:marLeft w:val="274"/>
          <w:marRight w:val="0"/>
          <w:marTop w:val="150"/>
          <w:marBottom w:val="0"/>
          <w:divBdr>
            <w:top w:val="none" w:sz="0" w:space="0" w:color="auto"/>
            <w:left w:val="none" w:sz="0" w:space="0" w:color="auto"/>
            <w:bottom w:val="none" w:sz="0" w:space="0" w:color="auto"/>
            <w:right w:val="none" w:sz="0" w:space="0" w:color="auto"/>
          </w:divBdr>
        </w:div>
        <w:div w:id="205918844">
          <w:marLeft w:val="274"/>
          <w:marRight w:val="0"/>
          <w:marTop w:val="150"/>
          <w:marBottom w:val="0"/>
          <w:divBdr>
            <w:top w:val="none" w:sz="0" w:space="0" w:color="auto"/>
            <w:left w:val="none" w:sz="0" w:space="0" w:color="auto"/>
            <w:bottom w:val="none" w:sz="0" w:space="0" w:color="auto"/>
            <w:right w:val="none" w:sz="0" w:space="0" w:color="auto"/>
          </w:divBdr>
        </w:div>
        <w:div w:id="538518650">
          <w:marLeft w:val="274"/>
          <w:marRight w:val="0"/>
          <w:marTop w:val="150"/>
          <w:marBottom w:val="0"/>
          <w:divBdr>
            <w:top w:val="none" w:sz="0" w:space="0" w:color="auto"/>
            <w:left w:val="none" w:sz="0" w:space="0" w:color="auto"/>
            <w:bottom w:val="none" w:sz="0" w:space="0" w:color="auto"/>
            <w:right w:val="none" w:sz="0" w:space="0" w:color="auto"/>
          </w:divBdr>
        </w:div>
        <w:div w:id="1029531941">
          <w:marLeft w:val="274"/>
          <w:marRight w:val="0"/>
          <w:marTop w:val="15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B7371-4BD0-4A71-A454-C6F91B902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75</Pages>
  <Words>29514</Words>
  <Characters>168231</Characters>
  <Application>Microsoft Office Word</Application>
  <DocSecurity>0</DocSecurity>
  <Lines>1401</Lines>
  <Paragraphs>394</Paragraphs>
  <ScaleCrop>false</ScaleCrop>
  <Company>HP Inc.</Company>
  <LinksUpToDate>false</LinksUpToDate>
  <CharactersWithSpaces>197351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Final Response Document on the 2022 Tax Bills.pdf</dc:title>
  <dc:subject/>
  <dc:creator>S1018982</dc:creator>
  <cp:keywords/>
  <dc:description/>
  <cp:lastModifiedBy>Aneesa Baig</cp:lastModifiedBy>
  <cp:revision>58</cp:revision>
  <cp:lastPrinted>2024-10-21T07:54:00Z</cp:lastPrinted>
  <dcterms:created xsi:type="dcterms:W3CDTF">2024-10-23T08:19:00Z</dcterms:created>
  <dcterms:modified xsi:type="dcterms:W3CDTF">2025-05-16T14:19:00Z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2023-01-18T00:00:00Z</vt:filetime>
  </property>
  <property fmtid="{D5CDD505-2E9C-101B-9397-08002B2CF9AE}" pid="3" name="LastSaved">
    <vt:filetime>2023-09-26T00:00:00Z</vt:filetime>
  </property>
</Properties>
</file>